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1EAED2" w14:textId="77777777" w:rsidR="00C669FF" w:rsidRPr="00FC26AA" w:rsidRDefault="007C2EFD" w:rsidP="00C669FF">
      <w:pPr>
        <w:pStyle w:val="PageHeader"/>
      </w:pPr>
      <w:r>
        <w:t>Final Report – Segment 3</w:t>
      </w:r>
      <w:r w:rsidR="00C669FF">
        <w:t xml:space="preserve"> </w:t>
      </w:r>
      <w:r>
        <w:t>V&amp;V and Commissioning</w:t>
      </w:r>
      <w:r w:rsidR="00C669FF">
        <w:t xml:space="preserve"> Flights</w:t>
      </w:r>
    </w:p>
    <w:p w14:paraId="2E257CDA" w14:textId="77777777" w:rsidR="00C669FF" w:rsidRPr="00FC26AA" w:rsidRDefault="009B3B47" w:rsidP="00C669FF">
      <w:pPr>
        <w:pStyle w:val="Heading1"/>
      </w:pPr>
      <w:r>
        <w:t>HC-1</w:t>
      </w:r>
      <w:r w:rsidR="00C669FF" w:rsidRPr="0063135A">
        <w:t xml:space="preserve">2 – </w:t>
      </w:r>
      <w:r>
        <w:t>TA Alignment Transfer</w:t>
      </w:r>
    </w:p>
    <w:p w14:paraId="6F338F29" w14:textId="77777777" w:rsidR="00C669FF" w:rsidRPr="00FC26AA" w:rsidRDefault="00C669FF" w:rsidP="00C669FF">
      <w:pPr>
        <w:pStyle w:val="Heading2"/>
      </w:pPr>
      <w:r w:rsidRPr="00FC26AA">
        <w:rPr>
          <w:bCs/>
        </w:rPr>
        <w:t>Introduction</w:t>
      </w:r>
    </w:p>
    <w:p w14:paraId="2807FB2D" w14:textId="03BECE8F" w:rsidR="00BC2CC3" w:rsidRDefault="00087B4B" w:rsidP="00C669FF">
      <w:r>
        <w:t>This document describes the</w:t>
      </w:r>
      <w:r w:rsidR="00FB38A8">
        <w:t xml:space="preserve"> use of HIPO to</w:t>
      </w:r>
      <w:r>
        <w:t xml:space="preserve"> transfer </w:t>
      </w:r>
      <w:r w:rsidR="00FB38A8">
        <w:t xml:space="preserve">the SOFIA TA pupil location and the </w:t>
      </w:r>
      <w:r w:rsidR="00BC2CC3">
        <w:t xml:space="preserve">in-focus </w:t>
      </w:r>
      <w:r w:rsidR="00A50CD3">
        <w:t xml:space="preserve">TA </w:t>
      </w:r>
      <w:r>
        <w:t>center-of-flange location</w:t>
      </w:r>
      <w:r w:rsidR="00FB38A8">
        <w:t>, orientation, and scale</w:t>
      </w:r>
      <w:r w:rsidR="00BC2CC3">
        <w:t xml:space="preserve"> </w:t>
      </w:r>
      <w:r>
        <w:t xml:space="preserve">to the TAAS in the DAOF SIL.  </w:t>
      </w:r>
    </w:p>
    <w:p w14:paraId="553BBABF" w14:textId="77777777" w:rsidR="00BC2CC3" w:rsidRDefault="00BC2CC3" w:rsidP="00C669FF"/>
    <w:p w14:paraId="6F782393" w14:textId="77777777" w:rsidR="00C669FF" w:rsidRDefault="00087B4B" w:rsidP="00C669FF">
      <w:r>
        <w:t xml:space="preserve">The basic approach </w:t>
      </w:r>
      <w:r w:rsidR="00BC2CC3">
        <w:t xml:space="preserve">for transferring the pupil location </w:t>
      </w:r>
      <w:r>
        <w:t>is straightforward in principle:</w:t>
      </w:r>
    </w:p>
    <w:p w14:paraId="6EF9B7B5" w14:textId="77777777" w:rsidR="00BC2CC3" w:rsidRDefault="00BC2CC3" w:rsidP="00BC2CC3">
      <w:pPr>
        <w:numPr>
          <w:ilvl w:val="0"/>
          <w:numId w:val="6"/>
        </w:numPr>
      </w:pPr>
      <w:r>
        <w:t>Determine the location of the secondary mirror in flight using the HIPO pupil viewing optics on the HIPO red side.</w:t>
      </w:r>
    </w:p>
    <w:p w14:paraId="7D099DF3" w14:textId="77777777" w:rsidR="00BC2CC3" w:rsidRDefault="00BC2CC3" w:rsidP="00BC2CC3">
      <w:pPr>
        <w:numPr>
          <w:ilvl w:val="0"/>
          <w:numId w:val="6"/>
        </w:numPr>
      </w:pPr>
      <w:r>
        <w:t>Adjust the position of the Large Chopped Hotplate so its center coincides with the TA pupil position measured in flight.</w:t>
      </w:r>
    </w:p>
    <w:p w14:paraId="74FD7593" w14:textId="77777777" w:rsidR="00BC2CC3" w:rsidRDefault="00BC2CC3" w:rsidP="00BC2CC3">
      <w:pPr>
        <w:numPr>
          <w:ilvl w:val="0"/>
          <w:numId w:val="6"/>
        </w:numPr>
      </w:pPr>
      <w:r>
        <w:t>Adjust the position of the Small Chopped Hotplate so its center coincides with the TA pupil position measured in flight.</w:t>
      </w:r>
    </w:p>
    <w:p w14:paraId="3A9483CF" w14:textId="77777777" w:rsidR="00BC2CC3" w:rsidRDefault="00BC2CC3" w:rsidP="00BC2CC3"/>
    <w:p w14:paraId="6E917C54" w14:textId="0FA17F6F" w:rsidR="00BC2CC3" w:rsidRPr="00FC26AA" w:rsidRDefault="00BC2CC3" w:rsidP="00BC2CC3">
      <w:r>
        <w:t xml:space="preserve">In practice the alignments of the hotplates was complicated by the fact that they are much closer to the instrument in the TAAS than the secondary mirror in the TA is in the actual TA.  This caused focus shifts that </w:t>
      </w:r>
      <w:r w:rsidR="006144E8">
        <w:t>had to be</w:t>
      </w:r>
      <w:r>
        <w:t xml:space="preserve"> work</w:t>
      </w:r>
      <w:r w:rsidR="006144E8">
        <w:t>ed</w:t>
      </w:r>
      <w:r>
        <w:t xml:space="preserve"> around.  This is described in section 1.3.</w:t>
      </w:r>
    </w:p>
    <w:p w14:paraId="5E5BA471" w14:textId="77777777" w:rsidR="00BC2CC3" w:rsidRDefault="00BC2CC3" w:rsidP="00BC2CC3"/>
    <w:p w14:paraId="7CC05BB0" w14:textId="41A27EF2" w:rsidR="00BC2CC3" w:rsidRDefault="00853DAE" w:rsidP="00BC2CC3">
      <w:r>
        <w:t xml:space="preserve">The mapping of the TA focal plane to the TAAS is better understood with some background.  </w:t>
      </w:r>
      <w:r w:rsidR="00BC2CC3">
        <w:t xml:space="preserve">The HIPO red side CCD was mapped to the TA’s SI mounting flange using the HIPO Flange </w:t>
      </w:r>
      <w:proofErr w:type="spellStart"/>
      <w:r w:rsidR="00BC2CC3">
        <w:t>Fiducial</w:t>
      </w:r>
      <w:proofErr w:type="spellEnd"/>
      <w:r w:rsidR="00BC2CC3">
        <w:t xml:space="preserve"> jig.  This </w:t>
      </w:r>
      <w:r w:rsidR="00C74D9F">
        <w:t xml:space="preserve">precisely machined </w:t>
      </w:r>
      <w:r w:rsidR="00BC2CC3">
        <w:t xml:space="preserve">fixture can be mounted in place of the HIPO entrance window and provides a </w:t>
      </w:r>
      <w:r>
        <w:t>square pattern</w:t>
      </w:r>
      <w:r w:rsidR="00BC2CC3">
        <w:t xml:space="preserve"> of pinholes located in the nominal TA focal plane with known spacing, </w:t>
      </w:r>
      <w:r>
        <w:t xml:space="preserve">with </w:t>
      </w:r>
      <w:r w:rsidR="00BC2CC3">
        <w:t xml:space="preserve">orientation fixed to the pins on the SI mounting flange to machining tolerances, and with one hole in the pattern </w:t>
      </w:r>
      <w:r>
        <w:t xml:space="preserve">located </w:t>
      </w:r>
      <w:r w:rsidR="00BC2CC3">
        <w:t xml:space="preserve">at the center of the flange within machining </w:t>
      </w:r>
      <w:r w:rsidR="00FB23AB">
        <w:t>stack-up tolerances.</w:t>
      </w:r>
      <w:r w:rsidR="009044B9">
        <w:t xml:space="preserve">  </w:t>
      </w:r>
      <w:r w:rsidR="00C74D9F">
        <w:t>The mapping of the HIPO red CCD to this fixture provided the underlying metric for aligning the gyro axes and imagers in the TA to the SI mounting flange.  This activity was carried out during the 2008 line-ops and is describe</w:t>
      </w:r>
      <w:r w:rsidR="006144E8">
        <w:t>d</w:t>
      </w:r>
      <w:r w:rsidR="00C74D9F">
        <w:t xml:space="preserve"> in that report </w:t>
      </w:r>
      <w:r w:rsidR="00492C81">
        <w:t>(</w:t>
      </w:r>
      <w:r w:rsidR="00492C81" w:rsidRPr="00492C81">
        <w:t>SCI-US-TRP-SV03-2012</w:t>
      </w:r>
      <w:r w:rsidR="00492C81">
        <w:t xml:space="preserve">, especially the sections on TC-HIPO-01 and TC-HIPO-06) </w:t>
      </w:r>
      <w:r w:rsidR="00C74D9F">
        <w:t xml:space="preserve">and in </w:t>
      </w:r>
      <w:proofErr w:type="spellStart"/>
      <w:r w:rsidR="00C74D9F">
        <w:t>Franziska</w:t>
      </w:r>
      <w:proofErr w:type="spellEnd"/>
      <w:r w:rsidR="00C74D9F">
        <w:t xml:space="preserve"> Harms’ thesis.</w:t>
      </w:r>
    </w:p>
    <w:p w14:paraId="7A8A6A91" w14:textId="77777777" w:rsidR="00C74D9F" w:rsidRDefault="00C74D9F" w:rsidP="00BC2CC3"/>
    <w:p w14:paraId="2B2731CA" w14:textId="6BDBE1D5" w:rsidR="00BC2CC3" w:rsidRDefault="00853DAE" w:rsidP="00BC2CC3">
      <w:r>
        <w:t xml:space="preserve">Because the Flange </w:t>
      </w:r>
      <w:proofErr w:type="spellStart"/>
      <w:r>
        <w:t>Fiducial</w:t>
      </w:r>
      <w:proofErr w:type="spellEnd"/>
      <w:r>
        <w:t xml:space="preserve"> is the primary reference for the TA coordinate systems, t</w:t>
      </w:r>
      <w:r w:rsidR="00C74D9F">
        <w:t xml:space="preserve">ransfer of the TA alignment to the TAAS really amounts to verifying the scale and orientation of the TAAS’ FCLS stages using the HIPO red CCD’s known relationship to the Flange </w:t>
      </w:r>
      <w:proofErr w:type="spellStart"/>
      <w:r w:rsidR="00C74D9F">
        <w:t>Fiducial</w:t>
      </w:r>
      <w:proofErr w:type="spellEnd"/>
      <w:r w:rsidR="00C74D9F">
        <w:t>.</w:t>
      </w:r>
      <w:r>
        <w:t xml:space="preserve">  This was done by:</w:t>
      </w:r>
    </w:p>
    <w:p w14:paraId="19ADE8A1" w14:textId="77777777" w:rsidR="00087B4B" w:rsidRDefault="00853DAE" w:rsidP="00C74D9F">
      <w:pPr>
        <w:numPr>
          <w:ilvl w:val="0"/>
          <w:numId w:val="7"/>
        </w:numPr>
      </w:pPr>
      <w:r>
        <w:t>Determining</w:t>
      </w:r>
      <w:r w:rsidR="00087B4B">
        <w:t xml:space="preserve"> the position of the FCLS when the focused image is at the </w:t>
      </w:r>
      <w:r>
        <w:t>known location</w:t>
      </w:r>
      <w:r w:rsidR="00087B4B">
        <w:t xml:space="preserve"> of the center of the flange.</w:t>
      </w:r>
    </w:p>
    <w:p w14:paraId="3FC21E96" w14:textId="77777777" w:rsidR="00FB38A8" w:rsidRDefault="00FB38A8" w:rsidP="00C74D9F">
      <w:pPr>
        <w:numPr>
          <w:ilvl w:val="0"/>
          <w:numId w:val="7"/>
        </w:numPr>
      </w:pPr>
      <w:r>
        <w:t>Measure a series of X and Y positions with the FCLS to determine the linear relationship between the TAAS FCLS coordinates a</w:t>
      </w:r>
      <w:r w:rsidR="00853DAE">
        <w:t xml:space="preserve">nd the flange coordinate system via the HIPO red CCD’s mapping to the Flange </w:t>
      </w:r>
      <w:proofErr w:type="spellStart"/>
      <w:r w:rsidR="00853DAE">
        <w:t>Fiducial</w:t>
      </w:r>
      <w:proofErr w:type="spellEnd"/>
      <w:r w:rsidR="00853DAE">
        <w:t>.</w:t>
      </w:r>
    </w:p>
    <w:p w14:paraId="4E665EE5" w14:textId="77777777" w:rsidR="00D3784D" w:rsidRDefault="00D3784D" w:rsidP="00087B4B"/>
    <w:p w14:paraId="77CB56FA" w14:textId="77777777" w:rsidR="00C669FF" w:rsidRPr="00FC26AA" w:rsidRDefault="00C669FF" w:rsidP="00C669FF">
      <w:pPr>
        <w:pStyle w:val="Heading2"/>
      </w:pPr>
      <w:r>
        <w:lastRenderedPageBreak/>
        <w:t>Data Acquired</w:t>
      </w:r>
    </w:p>
    <w:p w14:paraId="4ED4B685" w14:textId="11ECD78B" w:rsidR="00C669FF" w:rsidRDefault="002B507D" w:rsidP="00C669FF">
      <w:r>
        <w:t>The work for this test was done at the end of the SCAI-2 flight on 20110623 UT</w:t>
      </w:r>
      <w:r w:rsidR="006144E8">
        <w:t xml:space="preserve"> and in subsequent work on the TAAS</w:t>
      </w:r>
      <w:r w:rsidR="00C669FF">
        <w:t>.</w:t>
      </w:r>
      <w:r w:rsidR="00BE291B">
        <w:t xml:space="preserve">  </w:t>
      </w:r>
      <w:r w:rsidR="002E1B17">
        <w:t xml:space="preserve">Table HC-12-1 lists the relevant data for this test.  </w:t>
      </w:r>
      <w:r w:rsidR="00BE291B">
        <w:t xml:space="preserve">Rather than including all the </w:t>
      </w:r>
      <w:r w:rsidR="002E1B17">
        <w:t>trial images in the process of aligning the hotplates Table HC-12-1 only includes final images showing the as-aligned location of the hotplates.</w:t>
      </w:r>
      <w:r w:rsidR="004255BF">
        <w:t xml:space="preserve">  The hand notes for this test are in the HIPO 2 lab book under these dates.</w:t>
      </w:r>
    </w:p>
    <w:p w14:paraId="516AF657" w14:textId="77777777" w:rsidR="006E6E03" w:rsidRDefault="006E6E03" w:rsidP="00C669FF"/>
    <w:p w14:paraId="0F794246" w14:textId="77777777" w:rsidR="006E6E03" w:rsidRDefault="006E6E03" w:rsidP="006E6E03">
      <w:r>
        <w:t>Table HC-12-1:  HIPO HC-12 Data</w:t>
      </w:r>
    </w:p>
    <w:p w14:paraId="39F022AA" w14:textId="77777777" w:rsidR="006E6E03" w:rsidRDefault="006E6E03" w:rsidP="006E6E03"/>
    <w:tbl>
      <w:tblPr>
        <w:tblW w:w="9360" w:type="dxa"/>
        <w:tblInd w:w="18" w:type="dxa"/>
        <w:tblLook w:val="04A0" w:firstRow="1" w:lastRow="0" w:firstColumn="1" w:lastColumn="0" w:noHBand="0" w:noVBand="1"/>
      </w:tblPr>
      <w:tblGrid>
        <w:gridCol w:w="1328"/>
        <w:gridCol w:w="2182"/>
        <w:gridCol w:w="1260"/>
        <w:gridCol w:w="4590"/>
      </w:tblGrid>
      <w:tr w:rsidR="005F5F2A" w:rsidRPr="003148B6" w14:paraId="3EC407C8" w14:textId="77777777" w:rsidTr="005F5F2A">
        <w:tc>
          <w:tcPr>
            <w:tcW w:w="1328" w:type="dxa"/>
            <w:shd w:val="clear" w:color="auto" w:fill="auto"/>
          </w:tcPr>
          <w:p w14:paraId="4C6EA62E" w14:textId="77777777" w:rsidR="005F5F2A" w:rsidRPr="003148B6" w:rsidRDefault="005F5F2A" w:rsidP="006E6E03">
            <w:pPr>
              <w:rPr>
                <w:rFonts w:ascii="Arial" w:hAnsi="Arial"/>
                <w:sz w:val="20"/>
              </w:rPr>
            </w:pPr>
            <w:r w:rsidRPr="003148B6">
              <w:rPr>
                <w:rFonts w:ascii="Arial" w:hAnsi="Arial"/>
                <w:sz w:val="20"/>
              </w:rPr>
              <w:t>UT Date</w:t>
            </w:r>
          </w:p>
        </w:tc>
        <w:tc>
          <w:tcPr>
            <w:tcW w:w="2182" w:type="dxa"/>
            <w:shd w:val="clear" w:color="auto" w:fill="auto"/>
          </w:tcPr>
          <w:p w14:paraId="4BEA050F" w14:textId="77777777" w:rsidR="005F5F2A" w:rsidRPr="003148B6" w:rsidRDefault="005F5F2A" w:rsidP="006E6E03">
            <w:pPr>
              <w:rPr>
                <w:rFonts w:ascii="Arial" w:hAnsi="Arial"/>
                <w:sz w:val="20"/>
              </w:rPr>
            </w:pPr>
            <w:r w:rsidRPr="003148B6">
              <w:rPr>
                <w:rFonts w:ascii="Arial" w:hAnsi="Arial"/>
                <w:sz w:val="20"/>
              </w:rPr>
              <w:t>UT</w:t>
            </w:r>
            <w:r>
              <w:rPr>
                <w:rFonts w:ascii="Arial" w:hAnsi="Arial"/>
                <w:sz w:val="20"/>
              </w:rPr>
              <w:t xml:space="preserve"> Range</w:t>
            </w:r>
          </w:p>
        </w:tc>
        <w:tc>
          <w:tcPr>
            <w:tcW w:w="1260" w:type="dxa"/>
            <w:shd w:val="clear" w:color="auto" w:fill="auto"/>
          </w:tcPr>
          <w:p w14:paraId="468E2384" w14:textId="77777777" w:rsidR="005F5F2A" w:rsidRPr="003148B6" w:rsidRDefault="005F5F2A" w:rsidP="006E6E03">
            <w:pPr>
              <w:rPr>
                <w:rFonts w:ascii="Arial" w:hAnsi="Arial"/>
                <w:sz w:val="20"/>
              </w:rPr>
            </w:pPr>
            <w:r>
              <w:rPr>
                <w:rFonts w:ascii="Arial" w:hAnsi="Arial"/>
                <w:sz w:val="20"/>
              </w:rPr>
              <w:t>Red</w:t>
            </w:r>
            <w:r w:rsidRPr="003148B6">
              <w:rPr>
                <w:rFonts w:ascii="Arial" w:hAnsi="Arial"/>
                <w:sz w:val="20"/>
              </w:rPr>
              <w:t xml:space="preserve"> OS</w:t>
            </w:r>
            <w:r>
              <w:rPr>
                <w:rFonts w:ascii="Arial" w:hAnsi="Arial"/>
                <w:sz w:val="20"/>
              </w:rPr>
              <w:t xml:space="preserve"> </w:t>
            </w:r>
          </w:p>
        </w:tc>
        <w:tc>
          <w:tcPr>
            <w:tcW w:w="4590" w:type="dxa"/>
            <w:shd w:val="clear" w:color="auto" w:fill="auto"/>
          </w:tcPr>
          <w:p w14:paraId="55F54E27" w14:textId="77777777" w:rsidR="005F5F2A" w:rsidRPr="003148B6" w:rsidRDefault="005F5F2A" w:rsidP="006E6E03">
            <w:pPr>
              <w:rPr>
                <w:rFonts w:ascii="Arial" w:hAnsi="Arial"/>
                <w:sz w:val="20"/>
              </w:rPr>
            </w:pPr>
            <w:r w:rsidRPr="003148B6">
              <w:rPr>
                <w:rFonts w:ascii="Arial" w:hAnsi="Arial"/>
                <w:sz w:val="20"/>
              </w:rPr>
              <w:t>Comments</w:t>
            </w:r>
          </w:p>
        </w:tc>
      </w:tr>
      <w:tr w:rsidR="005F5F2A" w:rsidRPr="003148B6" w14:paraId="027C3E43" w14:textId="77777777" w:rsidTr="005F5F2A">
        <w:tc>
          <w:tcPr>
            <w:tcW w:w="1328" w:type="dxa"/>
            <w:shd w:val="clear" w:color="auto" w:fill="auto"/>
          </w:tcPr>
          <w:p w14:paraId="016B66CA" w14:textId="77777777" w:rsidR="005F5F2A" w:rsidRPr="003148B6" w:rsidRDefault="005F5F2A" w:rsidP="006E6E03">
            <w:pPr>
              <w:rPr>
                <w:rFonts w:ascii="Arial" w:hAnsi="Arial"/>
                <w:sz w:val="20"/>
              </w:rPr>
            </w:pPr>
            <w:r>
              <w:rPr>
                <w:rFonts w:ascii="Arial" w:hAnsi="Arial"/>
                <w:sz w:val="20"/>
              </w:rPr>
              <w:t>SCAI-2</w:t>
            </w:r>
          </w:p>
        </w:tc>
        <w:tc>
          <w:tcPr>
            <w:tcW w:w="2182" w:type="dxa"/>
            <w:shd w:val="clear" w:color="auto" w:fill="auto"/>
          </w:tcPr>
          <w:p w14:paraId="105312C6" w14:textId="77777777" w:rsidR="005F5F2A" w:rsidRPr="003148B6" w:rsidRDefault="005F5F2A" w:rsidP="006E6E03">
            <w:pPr>
              <w:rPr>
                <w:rFonts w:ascii="Arial" w:hAnsi="Arial"/>
                <w:sz w:val="20"/>
              </w:rPr>
            </w:pPr>
          </w:p>
        </w:tc>
        <w:tc>
          <w:tcPr>
            <w:tcW w:w="1260" w:type="dxa"/>
            <w:shd w:val="clear" w:color="auto" w:fill="auto"/>
          </w:tcPr>
          <w:p w14:paraId="5AF52BB9" w14:textId="77777777" w:rsidR="005F5F2A" w:rsidRPr="003148B6" w:rsidRDefault="005F5F2A" w:rsidP="006E6E03">
            <w:pPr>
              <w:rPr>
                <w:rFonts w:ascii="Arial" w:hAnsi="Arial"/>
                <w:sz w:val="20"/>
              </w:rPr>
            </w:pPr>
          </w:p>
        </w:tc>
        <w:tc>
          <w:tcPr>
            <w:tcW w:w="4590" w:type="dxa"/>
            <w:shd w:val="clear" w:color="auto" w:fill="auto"/>
          </w:tcPr>
          <w:p w14:paraId="0A9B4A40" w14:textId="77777777" w:rsidR="005F5F2A" w:rsidRPr="003148B6" w:rsidRDefault="005F5F2A" w:rsidP="006E6E03">
            <w:pPr>
              <w:rPr>
                <w:rFonts w:ascii="Arial" w:hAnsi="Arial"/>
                <w:sz w:val="20"/>
              </w:rPr>
            </w:pPr>
          </w:p>
        </w:tc>
      </w:tr>
      <w:tr w:rsidR="005F5F2A" w:rsidRPr="003148B6" w14:paraId="386858CD" w14:textId="77777777" w:rsidTr="005F5F2A">
        <w:tc>
          <w:tcPr>
            <w:tcW w:w="1328" w:type="dxa"/>
            <w:shd w:val="clear" w:color="auto" w:fill="auto"/>
          </w:tcPr>
          <w:p w14:paraId="736D4EFA" w14:textId="77777777" w:rsidR="005F5F2A" w:rsidRDefault="005F5F2A" w:rsidP="007353DA">
            <w:pPr>
              <w:jc w:val="right"/>
              <w:rPr>
                <w:rFonts w:ascii="Arial" w:hAnsi="Arial"/>
                <w:sz w:val="20"/>
              </w:rPr>
            </w:pPr>
            <w:r>
              <w:rPr>
                <w:rFonts w:ascii="Arial" w:hAnsi="Arial"/>
                <w:sz w:val="20"/>
              </w:rPr>
              <w:t>20110623</w:t>
            </w:r>
          </w:p>
        </w:tc>
        <w:tc>
          <w:tcPr>
            <w:tcW w:w="2182" w:type="dxa"/>
            <w:shd w:val="clear" w:color="auto" w:fill="auto"/>
          </w:tcPr>
          <w:p w14:paraId="437BC755" w14:textId="77777777" w:rsidR="005F5F2A" w:rsidRPr="003148B6" w:rsidRDefault="005F5F2A" w:rsidP="00D61E47">
            <w:pPr>
              <w:rPr>
                <w:rFonts w:ascii="Arial" w:hAnsi="Arial"/>
                <w:sz w:val="20"/>
              </w:rPr>
            </w:pPr>
            <w:r w:rsidRPr="006E6E03">
              <w:rPr>
                <w:rFonts w:ascii="Arial" w:hAnsi="Arial"/>
                <w:sz w:val="20"/>
              </w:rPr>
              <w:t>12:21:19</w:t>
            </w:r>
            <w:r>
              <w:rPr>
                <w:rFonts w:ascii="Arial" w:hAnsi="Arial"/>
                <w:sz w:val="20"/>
              </w:rPr>
              <w:t xml:space="preserve"> - </w:t>
            </w:r>
            <w:r w:rsidRPr="006E6E03">
              <w:rPr>
                <w:rFonts w:ascii="Arial" w:hAnsi="Arial"/>
                <w:sz w:val="20"/>
              </w:rPr>
              <w:t>12:23:19</w:t>
            </w:r>
          </w:p>
        </w:tc>
        <w:tc>
          <w:tcPr>
            <w:tcW w:w="1260" w:type="dxa"/>
            <w:shd w:val="clear" w:color="auto" w:fill="auto"/>
          </w:tcPr>
          <w:p w14:paraId="146AFD32" w14:textId="77777777" w:rsidR="005F5F2A" w:rsidRPr="003148B6" w:rsidRDefault="005F5F2A" w:rsidP="00D61E47">
            <w:pPr>
              <w:rPr>
                <w:rFonts w:ascii="Arial" w:hAnsi="Arial"/>
                <w:sz w:val="20"/>
              </w:rPr>
            </w:pPr>
            <w:r>
              <w:rPr>
                <w:rFonts w:ascii="Arial" w:hAnsi="Arial"/>
                <w:sz w:val="20"/>
              </w:rPr>
              <w:t xml:space="preserve">279 – 283 </w:t>
            </w:r>
          </w:p>
        </w:tc>
        <w:tc>
          <w:tcPr>
            <w:tcW w:w="4590" w:type="dxa"/>
            <w:shd w:val="clear" w:color="auto" w:fill="auto"/>
          </w:tcPr>
          <w:p w14:paraId="678019BD" w14:textId="2384C86E" w:rsidR="005F5F2A" w:rsidRPr="003148B6" w:rsidRDefault="005F5F2A" w:rsidP="00D61E47">
            <w:pPr>
              <w:rPr>
                <w:rFonts w:ascii="Arial" w:hAnsi="Arial"/>
                <w:sz w:val="20"/>
              </w:rPr>
            </w:pPr>
            <w:r>
              <w:rPr>
                <w:rFonts w:ascii="Arial" w:hAnsi="Arial"/>
                <w:sz w:val="20"/>
              </w:rPr>
              <w:t>In-flight pupil images, SCAI-2</w:t>
            </w:r>
          </w:p>
        </w:tc>
      </w:tr>
      <w:tr w:rsidR="005F5F2A" w:rsidRPr="003148B6" w14:paraId="5F3547AC" w14:textId="77777777" w:rsidTr="005F5F2A">
        <w:tc>
          <w:tcPr>
            <w:tcW w:w="1328" w:type="dxa"/>
            <w:shd w:val="clear" w:color="auto" w:fill="auto"/>
          </w:tcPr>
          <w:p w14:paraId="162394F4" w14:textId="77777777" w:rsidR="005F5F2A" w:rsidRDefault="005F5F2A" w:rsidP="006E6E03">
            <w:pPr>
              <w:rPr>
                <w:rFonts w:ascii="Arial" w:hAnsi="Arial"/>
                <w:sz w:val="20"/>
              </w:rPr>
            </w:pPr>
          </w:p>
        </w:tc>
        <w:tc>
          <w:tcPr>
            <w:tcW w:w="2182" w:type="dxa"/>
            <w:shd w:val="clear" w:color="auto" w:fill="auto"/>
          </w:tcPr>
          <w:p w14:paraId="6E161E5E" w14:textId="77777777" w:rsidR="005F5F2A" w:rsidRPr="003148B6" w:rsidRDefault="005F5F2A" w:rsidP="006E6E03">
            <w:pPr>
              <w:rPr>
                <w:rFonts w:ascii="Arial" w:hAnsi="Arial"/>
                <w:sz w:val="20"/>
              </w:rPr>
            </w:pPr>
          </w:p>
        </w:tc>
        <w:tc>
          <w:tcPr>
            <w:tcW w:w="1260" w:type="dxa"/>
            <w:shd w:val="clear" w:color="auto" w:fill="auto"/>
          </w:tcPr>
          <w:p w14:paraId="1D31EC08" w14:textId="77777777" w:rsidR="005F5F2A" w:rsidRPr="003148B6" w:rsidRDefault="005F5F2A" w:rsidP="006E6E03">
            <w:pPr>
              <w:rPr>
                <w:rFonts w:ascii="Arial" w:hAnsi="Arial"/>
                <w:sz w:val="20"/>
              </w:rPr>
            </w:pPr>
          </w:p>
        </w:tc>
        <w:tc>
          <w:tcPr>
            <w:tcW w:w="4590" w:type="dxa"/>
            <w:shd w:val="clear" w:color="auto" w:fill="auto"/>
          </w:tcPr>
          <w:p w14:paraId="1F38C048" w14:textId="77777777" w:rsidR="005F5F2A" w:rsidRPr="003148B6" w:rsidRDefault="005F5F2A" w:rsidP="006E6E03">
            <w:pPr>
              <w:rPr>
                <w:rFonts w:ascii="Arial" w:hAnsi="Arial"/>
                <w:sz w:val="20"/>
              </w:rPr>
            </w:pPr>
          </w:p>
        </w:tc>
      </w:tr>
      <w:tr w:rsidR="005F5F2A" w:rsidRPr="003148B6" w14:paraId="442041C3" w14:textId="77777777" w:rsidTr="005F5F2A">
        <w:tc>
          <w:tcPr>
            <w:tcW w:w="1328" w:type="dxa"/>
            <w:shd w:val="clear" w:color="auto" w:fill="auto"/>
          </w:tcPr>
          <w:p w14:paraId="1A0B7032" w14:textId="77777777" w:rsidR="005F5F2A" w:rsidRPr="003148B6" w:rsidRDefault="005F5F2A" w:rsidP="006E6E03">
            <w:pPr>
              <w:rPr>
                <w:rFonts w:ascii="Arial" w:hAnsi="Arial"/>
                <w:sz w:val="20"/>
              </w:rPr>
            </w:pPr>
            <w:r>
              <w:rPr>
                <w:rFonts w:ascii="Arial" w:hAnsi="Arial"/>
                <w:sz w:val="20"/>
              </w:rPr>
              <w:t>Post Flight</w:t>
            </w:r>
          </w:p>
        </w:tc>
        <w:tc>
          <w:tcPr>
            <w:tcW w:w="2182" w:type="dxa"/>
            <w:shd w:val="clear" w:color="auto" w:fill="auto"/>
          </w:tcPr>
          <w:p w14:paraId="43DBF86B" w14:textId="77777777" w:rsidR="005F5F2A" w:rsidRPr="003148B6" w:rsidRDefault="005F5F2A" w:rsidP="006E6E03">
            <w:pPr>
              <w:rPr>
                <w:rFonts w:ascii="Arial" w:hAnsi="Arial"/>
                <w:sz w:val="20"/>
              </w:rPr>
            </w:pPr>
          </w:p>
        </w:tc>
        <w:tc>
          <w:tcPr>
            <w:tcW w:w="1260" w:type="dxa"/>
            <w:shd w:val="clear" w:color="auto" w:fill="auto"/>
          </w:tcPr>
          <w:p w14:paraId="74088966" w14:textId="77777777" w:rsidR="005F5F2A" w:rsidRPr="003148B6" w:rsidRDefault="005F5F2A" w:rsidP="006E6E03">
            <w:pPr>
              <w:rPr>
                <w:rFonts w:ascii="Arial" w:hAnsi="Arial"/>
                <w:sz w:val="20"/>
              </w:rPr>
            </w:pPr>
          </w:p>
        </w:tc>
        <w:tc>
          <w:tcPr>
            <w:tcW w:w="4590" w:type="dxa"/>
            <w:shd w:val="clear" w:color="auto" w:fill="auto"/>
          </w:tcPr>
          <w:p w14:paraId="068C0173" w14:textId="77777777" w:rsidR="005F5F2A" w:rsidRPr="003148B6" w:rsidRDefault="005F5F2A" w:rsidP="006E6E03">
            <w:pPr>
              <w:rPr>
                <w:rFonts w:ascii="Arial" w:hAnsi="Arial"/>
                <w:sz w:val="20"/>
              </w:rPr>
            </w:pPr>
          </w:p>
        </w:tc>
      </w:tr>
      <w:tr w:rsidR="005F5F2A" w:rsidRPr="003148B6" w14:paraId="2B5E14D7" w14:textId="77777777" w:rsidTr="005F5F2A">
        <w:tc>
          <w:tcPr>
            <w:tcW w:w="1328" w:type="dxa"/>
            <w:shd w:val="clear" w:color="auto" w:fill="auto"/>
          </w:tcPr>
          <w:p w14:paraId="2487BD65" w14:textId="77777777" w:rsidR="005F5F2A" w:rsidRPr="003148B6" w:rsidRDefault="005F5F2A" w:rsidP="006E6E03">
            <w:pPr>
              <w:jc w:val="right"/>
              <w:rPr>
                <w:rFonts w:ascii="Arial" w:hAnsi="Arial"/>
                <w:sz w:val="20"/>
              </w:rPr>
            </w:pPr>
            <w:r>
              <w:rPr>
                <w:rFonts w:ascii="Arial" w:hAnsi="Arial"/>
                <w:sz w:val="20"/>
              </w:rPr>
              <w:t>20110625</w:t>
            </w:r>
          </w:p>
        </w:tc>
        <w:tc>
          <w:tcPr>
            <w:tcW w:w="2182" w:type="dxa"/>
            <w:shd w:val="clear" w:color="auto" w:fill="auto"/>
          </w:tcPr>
          <w:p w14:paraId="06798038" w14:textId="77777777" w:rsidR="005F5F2A" w:rsidRPr="003148B6" w:rsidRDefault="005F5F2A" w:rsidP="006E6E03">
            <w:pPr>
              <w:rPr>
                <w:rFonts w:ascii="Arial" w:hAnsi="Arial"/>
                <w:sz w:val="20"/>
              </w:rPr>
            </w:pPr>
            <w:r>
              <w:rPr>
                <w:rFonts w:ascii="Arial" w:hAnsi="Arial"/>
                <w:sz w:val="20"/>
              </w:rPr>
              <w:t>22:20:10</w:t>
            </w:r>
          </w:p>
        </w:tc>
        <w:tc>
          <w:tcPr>
            <w:tcW w:w="1260" w:type="dxa"/>
            <w:shd w:val="clear" w:color="auto" w:fill="auto"/>
          </w:tcPr>
          <w:p w14:paraId="5E0AEF1A" w14:textId="0D39FB90" w:rsidR="005F5F2A" w:rsidRPr="003148B6" w:rsidRDefault="005F5F2A" w:rsidP="006E6E03">
            <w:pPr>
              <w:rPr>
                <w:rFonts w:ascii="Arial" w:hAnsi="Arial"/>
                <w:sz w:val="20"/>
              </w:rPr>
            </w:pPr>
            <w:r>
              <w:rPr>
                <w:rFonts w:ascii="Arial" w:hAnsi="Arial"/>
                <w:sz w:val="20"/>
              </w:rPr>
              <w:t>42, 43</w:t>
            </w:r>
          </w:p>
        </w:tc>
        <w:tc>
          <w:tcPr>
            <w:tcW w:w="4590" w:type="dxa"/>
            <w:shd w:val="clear" w:color="auto" w:fill="auto"/>
          </w:tcPr>
          <w:p w14:paraId="6483B25A" w14:textId="77777777" w:rsidR="005F5F2A" w:rsidRPr="003148B6" w:rsidRDefault="005F5F2A" w:rsidP="006E6E03">
            <w:pPr>
              <w:rPr>
                <w:rFonts w:ascii="Arial" w:hAnsi="Arial"/>
                <w:sz w:val="20"/>
              </w:rPr>
            </w:pPr>
            <w:r>
              <w:rPr>
                <w:rFonts w:ascii="Arial" w:hAnsi="Arial"/>
                <w:sz w:val="20"/>
              </w:rPr>
              <w:t>TAAS large chopped hotplate</w:t>
            </w:r>
          </w:p>
        </w:tc>
      </w:tr>
      <w:tr w:rsidR="005F5F2A" w:rsidRPr="003148B6" w14:paraId="069A8F3A" w14:textId="77777777" w:rsidTr="005F5F2A">
        <w:tc>
          <w:tcPr>
            <w:tcW w:w="1328" w:type="dxa"/>
            <w:shd w:val="clear" w:color="auto" w:fill="auto"/>
          </w:tcPr>
          <w:p w14:paraId="53525665" w14:textId="77777777" w:rsidR="005F5F2A" w:rsidRDefault="005F5F2A" w:rsidP="006E6E03">
            <w:pPr>
              <w:jc w:val="right"/>
              <w:rPr>
                <w:rFonts w:ascii="Arial" w:hAnsi="Arial"/>
                <w:sz w:val="20"/>
              </w:rPr>
            </w:pPr>
          </w:p>
        </w:tc>
        <w:tc>
          <w:tcPr>
            <w:tcW w:w="2182" w:type="dxa"/>
            <w:shd w:val="clear" w:color="auto" w:fill="auto"/>
          </w:tcPr>
          <w:p w14:paraId="18C935D0" w14:textId="77777777" w:rsidR="005F5F2A" w:rsidRPr="003148B6" w:rsidRDefault="005F5F2A" w:rsidP="006E6E03">
            <w:pPr>
              <w:rPr>
                <w:rFonts w:ascii="Arial" w:hAnsi="Arial"/>
                <w:sz w:val="20"/>
              </w:rPr>
            </w:pPr>
            <w:r>
              <w:rPr>
                <w:rFonts w:ascii="Arial" w:hAnsi="Arial"/>
                <w:sz w:val="20"/>
              </w:rPr>
              <w:t>23:06:37</w:t>
            </w:r>
          </w:p>
        </w:tc>
        <w:tc>
          <w:tcPr>
            <w:tcW w:w="1260" w:type="dxa"/>
            <w:shd w:val="clear" w:color="auto" w:fill="auto"/>
          </w:tcPr>
          <w:p w14:paraId="0C2DDA8C" w14:textId="059B65CD" w:rsidR="005F5F2A" w:rsidRDefault="005F5F2A" w:rsidP="006E6E03">
            <w:pPr>
              <w:rPr>
                <w:rFonts w:ascii="Arial" w:hAnsi="Arial"/>
                <w:sz w:val="20"/>
              </w:rPr>
            </w:pPr>
            <w:r>
              <w:rPr>
                <w:rFonts w:ascii="Arial" w:hAnsi="Arial"/>
                <w:sz w:val="20"/>
              </w:rPr>
              <w:t>51</w:t>
            </w:r>
          </w:p>
        </w:tc>
        <w:tc>
          <w:tcPr>
            <w:tcW w:w="4590" w:type="dxa"/>
            <w:shd w:val="clear" w:color="auto" w:fill="auto"/>
          </w:tcPr>
          <w:p w14:paraId="5625E3A2" w14:textId="77777777" w:rsidR="005F5F2A" w:rsidRDefault="005F5F2A" w:rsidP="006E6E03">
            <w:pPr>
              <w:rPr>
                <w:rFonts w:ascii="Arial" w:hAnsi="Arial"/>
                <w:sz w:val="20"/>
              </w:rPr>
            </w:pPr>
            <w:r>
              <w:rPr>
                <w:rFonts w:ascii="Arial" w:hAnsi="Arial"/>
                <w:sz w:val="20"/>
              </w:rPr>
              <w:t>TAAS small chopped hotplate</w:t>
            </w:r>
          </w:p>
        </w:tc>
      </w:tr>
      <w:tr w:rsidR="005F5F2A" w:rsidRPr="003148B6" w14:paraId="2902E99E" w14:textId="77777777" w:rsidTr="005F5F2A">
        <w:tc>
          <w:tcPr>
            <w:tcW w:w="1328" w:type="dxa"/>
            <w:shd w:val="clear" w:color="auto" w:fill="auto"/>
          </w:tcPr>
          <w:p w14:paraId="72756195" w14:textId="2D8233D3" w:rsidR="005F5F2A" w:rsidRDefault="005F5F2A" w:rsidP="006E6E03">
            <w:pPr>
              <w:jc w:val="right"/>
              <w:rPr>
                <w:rFonts w:ascii="Arial" w:hAnsi="Arial"/>
                <w:sz w:val="20"/>
              </w:rPr>
            </w:pPr>
          </w:p>
        </w:tc>
        <w:tc>
          <w:tcPr>
            <w:tcW w:w="2182" w:type="dxa"/>
            <w:shd w:val="clear" w:color="auto" w:fill="auto"/>
          </w:tcPr>
          <w:p w14:paraId="1C2D9634" w14:textId="3576E6D4" w:rsidR="005F5F2A" w:rsidRPr="003148B6" w:rsidRDefault="005F5F2A" w:rsidP="006E6E03">
            <w:pPr>
              <w:rPr>
                <w:rFonts w:ascii="Arial" w:hAnsi="Arial"/>
                <w:sz w:val="20"/>
              </w:rPr>
            </w:pPr>
          </w:p>
        </w:tc>
        <w:tc>
          <w:tcPr>
            <w:tcW w:w="1260" w:type="dxa"/>
            <w:shd w:val="clear" w:color="auto" w:fill="auto"/>
          </w:tcPr>
          <w:p w14:paraId="31334C82" w14:textId="4DE27EDE" w:rsidR="005F5F2A" w:rsidRDefault="005F5F2A" w:rsidP="006E6E03">
            <w:pPr>
              <w:rPr>
                <w:rFonts w:ascii="Arial" w:hAnsi="Arial"/>
                <w:sz w:val="20"/>
              </w:rPr>
            </w:pPr>
          </w:p>
        </w:tc>
        <w:tc>
          <w:tcPr>
            <w:tcW w:w="4590" w:type="dxa"/>
            <w:shd w:val="clear" w:color="auto" w:fill="auto"/>
          </w:tcPr>
          <w:p w14:paraId="72F7D713" w14:textId="41329DF4" w:rsidR="005F5F2A" w:rsidRDefault="005F5F2A" w:rsidP="00CE001F">
            <w:pPr>
              <w:rPr>
                <w:rFonts w:ascii="Arial" w:hAnsi="Arial"/>
                <w:sz w:val="20"/>
              </w:rPr>
            </w:pPr>
          </w:p>
        </w:tc>
      </w:tr>
      <w:tr w:rsidR="005F5F2A" w:rsidRPr="003148B6" w14:paraId="691F9C91" w14:textId="77777777" w:rsidTr="005F5F2A">
        <w:tc>
          <w:tcPr>
            <w:tcW w:w="1328" w:type="dxa"/>
            <w:shd w:val="clear" w:color="auto" w:fill="auto"/>
          </w:tcPr>
          <w:p w14:paraId="6FC913A9" w14:textId="77777777" w:rsidR="005F5F2A" w:rsidRDefault="005F5F2A" w:rsidP="006E6E03">
            <w:pPr>
              <w:jc w:val="right"/>
              <w:rPr>
                <w:rFonts w:ascii="Arial" w:hAnsi="Arial"/>
                <w:sz w:val="20"/>
              </w:rPr>
            </w:pPr>
            <w:r>
              <w:rPr>
                <w:rFonts w:ascii="Arial" w:hAnsi="Arial"/>
                <w:sz w:val="20"/>
              </w:rPr>
              <w:t>20110626</w:t>
            </w:r>
          </w:p>
        </w:tc>
        <w:tc>
          <w:tcPr>
            <w:tcW w:w="2182" w:type="dxa"/>
            <w:shd w:val="clear" w:color="auto" w:fill="auto"/>
          </w:tcPr>
          <w:p w14:paraId="10041C41" w14:textId="77777777" w:rsidR="005F5F2A" w:rsidRDefault="005F5F2A" w:rsidP="006E6E03">
            <w:pPr>
              <w:rPr>
                <w:rFonts w:ascii="Arial" w:hAnsi="Arial"/>
                <w:sz w:val="20"/>
              </w:rPr>
            </w:pPr>
            <w:r w:rsidRPr="00CE001F">
              <w:rPr>
                <w:rFonts w:ascii="Arial" w:hAnsi="Arial"/>
                <w:sz w:val="20"/>
              </w:rPr>
              <w:t>17:01:04</w:t>
            </w:r>
            <w:r>
              <w:rPr>
                <w:rFonts w:ascii="Arial" w:hAnsi="Arial"/>
                <w:sz w:val="20"/>
              </w:rPr>
              <w:t xml:space="preserve"> - </w:t>
            </w:r>
            <w:r w:rsidRPr="00CE001F">
              <w:rPr>
                <w:rFonts w:ascii="Arial" w:hAnsi="Arial"/>
                <w:sz w:val="20"/>
              </w:rPr>
              <w:t>18:03:41</w:t>
            </w:r>
          </w:p>
        </w:tc>
        <w:tc>
          <w:tcPr>
            <w:tcW w:w="1260" w:type="dxa"/>
            <w:shd w:val="clear" w:color="auto" w:fill="auto"/>
          </w:tcPr>
          <w:p w14:paraId="4830BE06" w14:textId="77777777" w:rsidR="005F5F2A" w:rsidRDefault="005F5F2A" w:rsidP="006E6E03">
            <w:pPr>
              <w:rPr>
                <w:rFonts w:ascii="Arial" w:hAnsi="Arial"/>
                <w:sz w:val="20"/>
              </w:rPr>
            </w:pPr>
            <w:r>
              <w:rPr>
                <w:rFonts w:ascii="Arial" w:hAnsi="Arial"/>
                <w:sz w:val="20"/>
              </w:rPr>
              <w:t>3-28</w:t>
            </w:r>
          </w:p>
        </w:tc>
        <w:tc>
          <w:tcPr>
            <w:tcW w:w="4590" w:type="dxa"/>
            <w:shd w:val="clear" w:color="auto" w:fill="auto"/>
          </w:tcPr>
          <w:p w14:paraId="10F6DA41" w14:textId="348D8F83" w:rsidR="005F5F2A" w:rsidRDefault="005F5F2A" w:rsidP="006E6E03">
            <w:pPr>
              <w:rPr>
                <w:rFonts w:ascii="Arial" w:hAnsi="Arial"/>
                <w:sz w:val="20"/>
              </w:rPr>
            </w:pPr>
            <w:r>
              <w:rPr>
                <w:rFonts w:ascii="Arial" w:hAnsi="Arial"/>
                <w:sz w:val="20"/>
              </w:rPr>
              <w:t>FCLS flange center, stage alignment, and scale</w:t>
            </w:r>
          </w:p>
        </w:tc>
      </w:tr>
    </w:tbl>
    <w:p w14:paraId="0383441E" w14:textId="77777777" w:rsidR="006E6E03" w:rsidRPr="00FC26AA" w:rsidRDefault="006E6E03" w:rsidP="00C669FF">
      <w:pPr>
        <w:rPr>
          <w:lang w:val="fr-FR"/>
        </w:rPr>
      </w:pPr>
    </w:p>
    <w:p w14:paraId="5DD8EC5E" w14:textId="77777777" w:rsidR="00C669FF" w:rsidRPr="00FC26AA" w:rsidRDefault="00C669FF" w:rsidP="00C669FF">
      <w:pPr>
        <w:pStyle w:val="Heading2"/>
      </w:pPr>
      <w:r>
        <w:t>Data Analysis</w:t>
      </w:r>
    </w:p>
    <w:p w14:paraId="1F607B91" w14:textId="18AA786A" w:rsidR="00A8015B" w:rsidRDefault="00A927FC" w:rsidP="00C669FF">
      <w:r>
        <w:t xml:space="preserve">The real-time </w:t>
      </w:r>
      <w:proofErr w:type="spellStart"/>
      <w:r>
        <w:t>centroidi</w:t>
      </w:r>
      <w:r w:rsidR="004255BF">
        <w:t>ng</w:t>
      </w:r>
      <w:proofErr w:type="spellEnd"/>
      <w:r w:rsidR="004255BF">
        <w:t xml:space="preserve"> capability in LOIS was used to find the in-focus image positions</w:t>
      </w:r>
      <w:r w:rsidR="00C669FF" w:rsidRPr="00FC26AA">
        <w:t>.</w:t>
      </w:r>
      <w:r w:rsidR="000274D9">
        <w:t xml:space="preserve">  </w:t>
      </w:r>
    </w:p>
    <w:p w14:paraId="3A6BE54F" w14:textId="77777777" w:rsidR="00A8015B" w:rsidRDefault="00A8015B" w:rsidP="00C669FF"/>
    <w:p w14:paraId="65F0B833" w14:textId="53713E32" w:rsidR="00C669FF" w:rsidRDefault="000274D9" w:rsidP="00C669FF">
      <w:r>
        <w:t>The position of the pupil image taken in flight (we used OS279 for this) was found using ds9.  A circular region was created with diameter closely matching the secondary and then moved until it was centered on the secondary as well as possible by eye.  The position uncertainty is less than a pixel.</w:t>
      </w:r>
    </w:p>
    <w:p w14:paraId="5848E176" w14:textId="77777777" w:rsidR="00A8015B" w:rsidRDefault="00A8015B" w:rsidP="00C669FF"/>
    <w:p w14:paraId="7EFE5CEE" w14:textId="2610BCEB" w:rsidR="00A8015B" w:rsidRPr="00FC26AA" w:rsidRDefault="00A8015B" w:rsidP="00C669FF">
      <w:r>
        <w:t xml:space="preserve">The main difficulty in this test was to cope with the fact that the hotplates in the TAAS </w:t>
      </w:r>
      <w:r w:rsidR="00C16AD0">
        <w:t>were</w:t>
      </w:r>
      <w:r>
        <w:t xml:space="preserve"> far too close to the instrument for its pupil viewing lenses to focus.  We tried several approaches for working around this problem.  The following scheme worked.  </w:t>
      </w:r>
      <w:r w:rsidR="009D24AD">
        <w:t>A small light source was put at the center of the hotplate</w:t>
      </w:r>
      <w:r w:rsidR="00C16AD0">
        <w:t xml:space="preserve">.  By itself this would not be in focus with the pupil viewing optics, but by adding a small aperture </w:t>
      </w:r>
      <w:r w:rsidR="006144E8">
        <w:t xml:space="preserve">carefully centered </w:t>
      </w:r>
      <w:r w:rsidR="00C16AD0">
        <w:t xml:space="preserve">in the location of the HIPO entrance window that effectively acted like a pinhole camera it was possible to </w:t>
      </w:r>
      <w:r w:rsidR="006144E8">
        <w:t>image</w:t>
      </w:r>
      <w:r w:rsidR="00C16AD0">
        <w:t xml:space="preserve"> the light source on the hotplate.  After determining that our sensitivity to the position of the aperture at the entrance window location was low (less than a pixel</w:t>
      </w:r>
      <w:r w:rsidR="006144E8">
        <w:t xml:space="preserve"> for our actual aperture</w:t>
      </w:r>
      <w:r w:rsidR="00C16AD0">
        <w:t>) all that was required was to adjust the hotplate until the image of the light source centered on the hotplate was in the correct posi</w:t>
      </w:r>
      <w:r w:rsidR="00664CC5">
        <w:t xml:space="preserve">tion.  The built-in LOIS </w:t>
      </w:r>
      <w:proofErr w:type="spellStart"/>
      <w:r w:rsidR="00664CC5">
        <w:t>centroi</w:t>
      </w:r>
      <w:r w:rsidR="00C16AD0">
        <w:t>ding</w:t>
      </w:r>
      <w:proofErr w:type="spellEnd"/>
      <w:r w:rsidR="00C16AD0">
        <w:t xml:space="preserve"> capability was used for this.</w:t>
      </w:r>
    </w:p>
    <w:p w14:paraId="14ECDC5F" w14:textId="77777777" w:rsidR="00586A04" w:rsidRDefault="00586A04" w:rsidP="00586A04">
      <w:pPr>
        <w:pStyle w:val="Heading2"/>
      </w:pPr>
      <w:r>
        <w:t>Results</w:t>
      </w:r>
    </w:p>
    <w:p w14:paraId="02468F6B" w14:textId="01DEB6D3" w:rsidR="00A8015B" w:rsidRDefault="00664CC5" w:rsidP="00A8015B">
      <w:pPr>
        <w:pStyle w:val="Heading3"/>
      </w:pPr>
      <w:r>
        <w:t>Pupil Position and Hotplates</w:t>
      </w:r>
    </w:p>
    <w:p w14:paraId="67F8AE4C" w14:textId="1E2387C2" w:rsidR="00A8015B" w:rsidRPr="00FC26AA" w:rsidRDefault="00FB23AB" w:rsidP="00A8015B">
      <w:r>
        <w:t>Figure HC-12-1 shows the in-flight image of the TA pupil with the</w:t>
      </w:r>
      <w:r w:rsidR="006144E8">
        <w:t xml:space="preserve"> thin green</w:t>
      </w:r>
      <w:r>
        <w:t xml:space="preserve"> circular region included</w:t>
      </w:r>
      <w:r w:rsidR="00A8015B" w:rsidRPr="00FC26AA">
        <w:t>.</w:t>
      </w:r>
      <w:r w:rsidR="009D24AD">
        <w:t xml:space="preserve">  The circular region is centered at HIPO pixel position (599, 468) and has a diameter of 230 pixels.</w:t>
      </w:r>
      <w:r w:rsidR="0023494B">
        <w:t xml:space="preserve">  The final position</w:t>
      </w:r>
      <w:r w:rsidR="00DB60C5">
        <w:t xml:space="preserve"> of the large chopped hotplate after following the process described in the previous section was (559.6, 468.5).  Taking the hotplate off and re-installing it reproduced this position well, with coordinates (559.0, 468.4).  The small chopped hotplate was treated similarly.  The image of the light source on the hotplate was fainter and the position showed scatter on the level of 2 pixels.  The final position found on OS51 was (598, 471).</w:t>
      </w:r>
    </w:p>
    <w:p w14:paraId="4A437CD1" w14:textId="77777777" w:rsidR="00A8015B" w:rsidRDefault="00A8015B" w:rsidP="00A8015B"/>
    <w:p w14:paraId="6D0E90EC" w14:textId="77777777" w:rsidR="00FB23AB" w:rsidRDefault="00FB23AB" w:rsidP="00A8015B"/>
    <w:p w14:paraId="62DAAE3C" w14:textId="60EBB65E" w:rsidR="00FB23AB" w:rsidRDefault="009D24AD" w:rsidP="00A8015B">
      <w:r>
        <w:rPr>
          <w:noProof/>
        </w:rPr>
        <w:drawing>
          <wp:inline distT="0" distB="0" distL="0" distR="0" wp14:anchorId="28B7FC9F" wp14:editId="1ADB0F6E">
            <wp:extent cx="5933440" cy="4785360"/>
            <wp:effectExtent l="0" t="0" r="10160" b="0"/>
            <wp:docPr id="1" name="Picture 1" descr="Macintosh HD:Users:dunham:Desktop:Test Flights:SCAI:06-2011:Analysis:HC-12 - Alignment Transfer:OS27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dunham:Desktop:Test Flights:SCAI:06-2011:Analysis:HC-12 - Alignment Transfer:OS279.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3440" cy="4785360"/>
                    </a:xfrm>
                    <a:prstGeom prst="rect">
                      <a:avLst/>
                    </a:prstGeom>
                    <a:noFill/>
                    <a:ln>
                      <a:noFill/>
                    </a:ln>
                  </pic:spPr>
                </pic:pic>
              </a:graphicData>
            </a:graphic>
          </wp:inline>
        </w:drawing>
      </w:r>
    </w:p>
    <w:p w14:paraId="0337C2D4" w14:textId="77777777" w:rsidR="0023494B" w:rsidRDefault="0023494B" w:rsidP="00FB23AB">
      <w:pPr>
        <w:jc w:val="center"/>
      </w:pPr>
    </w:p>
    <w:p w14:paraId="4E30B1B7" w14:textId="614A3DB9" w:rsidR="00FB23AB" w:rsidRDefault="00FB23AB" w:rsidP="00FB23AB">
      <w:pPr>
        <w:jc w:val="center"/>
      </w:pPr>
      <w:r>
        <w:t xml:space="preserve">Figure HC-12-1.  This shows the in-flight image (HIPO Red OS 279) of the TA pupil with a green </w:t>
      </w:r>
      <w:r w:rsidR="009D24AD">
        <w:t>circular region described in the text</w:t>
      </w:r>
      <w:r>
        <w:t xml:space="preserve"> overlaid.</w:t>
      </w:r>
      <w:r w:rsidR="009D24AD">
        <w:t xml:space="preserve"> </w:t>
      </w:r>
    </w:p>
    <w:p w14:paraId="29498674" w14:textId="77777777" w:rsidR="00D837BE" w:rsidRDefault="00D837BE" w:rsidP="00586A04"/>
    <w:p w14:paraId="7D583AC9" w14:textId="77777777" w:rsidR="00D837BE" w:rsidRDefault="00D837BE" w:rsidP="00586A04"/>
    <w:p w14:paraId="04B7C724" w14:textId="0C8D4D60" w:rsidR="00D837BE" w:rsidRDefault="00D837BE" w:rsidP="00586A04">
      <w:r>
        <w:t xml:space="preserve">The large chopped hotplate had to be lowered about 18 mm from the position expected by the TAAS engineers </w:t>
      </w:r>
      <w:r w:rsidR="00292F8E">
        <w:t xml:space="preserve">in order </w:t>
      </w:r>
      <w:r>
        <w:t xml:space="preserve">to reach its aligned state.  The small chopped hotplate needed to be lowered by a comparable amount.  </w:t>
      </w:r>
      <w:r w:rsidR="00292F8E">
        <w:t xml:space="preserve">These seemed like </w:t>
      </w:r>
      <w:r>
        <w:t>very large motion</w:t>
      </w:r>
      <w:r w:rsidR="00292F8E">
        <w:t>s</w:t>
      </w:r>
      <w:r>
        <w:t xml:space="preserve"> to all of us and left us with a sense of unease.  However, </w:t>
      </w:r>
      <w:r w:rsidR="00292F8E">
        <w:t>in the fullness of time both</w:t>
      </w:r>
      <w:r>
        <w:t xml:space="preserve"> FLITECAM and FIFI-LS were aligned using the TAAS hotplates and </w:t>
      </w:r>
      <w:r w:rsidR="00292F8E">
        <w:t>neither instrument required</w:t>
      </w:r>
      <w:r>
        <w:t xml:space="preserve"> additional adjustment </w:t>
      </w:r>
      <w:r w:rsidR="00292F8E">
        <w:t>after being</w:t>
      </w:r>
      <w:r>
        <w:t xml:space="preserve"> mounted on the TA. </w:t>
      </w:r>
    </w:p>
    <w:p w14:paraId="4C921D50" w14:textId="77777777" w:rsidR="002C4D8D" w:rsidRDefault="002C4D8D" w:rsidP="00586A04"/>
    <w:p w14:paraId="23DE095C" w14:textId="77777777" w:rsidR="00292F8E" w:rsidRPr="00FC26AA" w:rsidRDefault="00292F8E" w:rsidP="00586A04"/>
    <w:p w14:paraId="5ED76580" w14:textId="0F2C20EB" w:rsidR="00C669FF" w:rsidRDefault="00586A04" w:rsidP="00586A04">
      <w:pPr>
        <w:pStyle w:val="Heading3"/>
      </w:pPr>
      <w:r>
        <w:t>FCLS</w:t>
      </w:r>
    </w:p>
    <w:p w14:paraId="085DCBB3" w14:textId="3A60F9BD" w:rsidR="00C669FF" w:rsidRDefault="00D636C8">
      <w:r>
        <w:t>The FCLS alignment results are summarized below:</w:t>
      </w:r>
    </w:p>
    <w:p w14:paraId="0EB11435" w14:textId="77777777" w:rsidR="00D636C8" w:rsidRDefault="00D636C8"/>
    <w:p w14:paraId="75682A76" w14:textId="77777777" w:rsidR="00D636C8" w:rsidRDefault="00D636C8">
      <w:r>
        <w:t xml:space="preserve">Focus:  </w:t>
      </w:r>
    </w:p>
    <w:p w14:paraId="3559A240" w14:textId="172AF3A7" w:rsidR="00D636C8" w:rsidRDefault="00D636C8" w:rsidP="00D636C8">
      <w:pPr>
        <w:ind w:firstLine="720"/>
      </w:pPr>
      <w:r>
        <w:t>7050 was the best focus position for HIPO</w:t>
      </w:r>
      <w:r w:rsidR="006F29B1">
        <w:t>.</w:t>
      </w:r>
    </w:p>
    <w:p w14:paraId="4AB23BE1" w14:textId="77777777" w:rsidR="00D636C8" w:rsidRDefault="00D636C8"/>
    <w:p w14:paraId="29A8F728" w14:textId="77777777" w:rsidR="00D636C8" w:rsidRDefault="00D636C8">
      <w:r>
        <w:t>Flange Center:</w:t>
      </w:r>
    </w:p>
    <w:p w14:paraId="24948521" w14:textId="521E7480" w:rsidR="00D636C8" w:rsidRDefault="00D636C8" w:rsidP="00D636C8">
      <w:pPr>
        <w:ind w:firstLine="720"/>
      </w:pPr>
      <w:r>
        <w:t xml:space="preserve">Flange </w:t>
      </w:r>
      <w:proofErr w:type="spellStart"/>
      <w:r>
        <w:t>fiducial</w:t>
      </w:r>
      <w:proofErr w:type="spellEnd"/>
      <w:r>
        <w:t xml:space="preserve"> flange center position:  (543.6, 480.9) in HIPO red pixel coordinates.</w:t>
      </w:r>
    </w:p>
    <w:p w14:paraId="70C411E3" w14:textId="48468587" w:rsidR="00D636C8" w:rsidRDefault="00D636C8" w:rsidP="00D636C8">
      <w:pPr>
        <w:ind w:firstLine="720"/>
      </w:pPr>
      <w:r>
        <w:t>TAAS (x, z</w:t>
      </w:r>
      <w:r w:rsidR="001B4EE2">
        <w:t>) = (46.081, 31.938) corresponded</w:t>
      </w:r>
      <w:r>
        <w:t xml:space="preserve"> to (543.2, 480.1) in HIPO red pixels.</w:t>
      </w:r>
    </w:p>
    <w:p w14:paraId="1B41562F" w14:textId="6A2D5B99" w:rsidR="00D636C8" w:rsidRDefault="00D636C8" w:rsidP="00D636C8">
      <w:pPr>
        <w:ind w:firstLine="720"/>
      </w:pPr>
      <w:r>
        <w:t xml:space="preserve">    This </w:t>
      </w:r>
      <w:r w:rsidR="001B4EE2">
        <w:t>was</w:t>
      </w:r>
      <w:r>
        <w:t xml:space="preserve"> defined to be the “HIPO </w:t>
      </w:r>
      <w:proofErr w:type="spellStart"/>
      <w:r>
        <w:t>Boresight</w:t>
      </w:r>
      <w:proofErr w:type="spellEnd"/>
      <w:r>
        <w:t>” on the TAAS.</w:t>
      </w:r>
    </w:p>
    <w:p w14:paraId="2B44F986" w14:textId="77777777" w:rsidR="00D636C8" w:rsidRDefault="00D636C8"/>
    <w:p w14:paraId="00433239" w14:textId="664876B6" w:rsidR="00D636C8" w:rsidRDefault="00C45B4A">
      <w:r>
        <w:t>Scale:</w:t>
      </w:r>
    </w:p>
    <w:p w14:paraId="13A61A37" w14:textId="096B5121" w:rsidR="00C45B4A" w:rsidRDefault="00C45B4A" w:rsidP="00C45B4A">
      <w:pPr>
        <w:ind w:left="720"/>
      </w:pPr>
      <w:r>
        <w:t>The FCLS scale was</w:t>
      </w:r>
      <w:r w:rsidR="008511E5">
        <w:t xml:space="preserve"> found to be</w:t>
      </w:r>
      <w:r w:rsidR="001B4EE2">
        <w:t xml:space="preserve"> 12.71</w:t>
      </w:r>
      <w:r>
        <w:t xml:space="preserve"> HIPO pixels per mm of FCLS motion.  The HIPO pixel scale is 0.327”/pixel so the effective image scale of the TAAS, referred to the sky, is 4.16 “/mm.</w:t>
      </w:r>
    </w:p>
    <w:p w14:paraId="71E52FEC" w14:textId="77777777" w:rsidR="00C45B4A" w:rsidRDefault="00C45B4A" w:rsidP="00C45B4A"/>
    <w:p w14:paraId="006C5657" w14:textId="41C59221" w:rsidR="00C45B4A" w:rsidRDefault="00C45B4A" w:rsidP="00C45B4A">
      <w:r>
        <w:t>Orientation:</w:t>
      </w:r>
    </w:p>
    <w:p w14:paraId="3942C2F1" w14:textId="100A1BEA" w:rsidR="00C45B4A" w:rsidRDefault="008E4C23" w:rsidP="00C45B4A">
      <w:pPr>
        <w:ind w:left="720"/>
      </w:pPr>
      <w:r>
        <w:t>The HIPO red CCD pixel</w:t>
      </w:r>
      <w:r w:rsidR="00A00F0E">
        <w:t xml:space="preserve"> </w:t>
      </w:r>
      <w:r>
        <w:t>grid was</w:t>
      </w:r>
      <w:r w:rsidR="00A00F0E">
        <w:t xml:space="preserve"> rotated by 0.19 degrees </w:t>
      </w:r>
      <w:r w:rsidR="001B4EE2">
        <w:t>relative to</w:t>
      </w:r>
      <w:r w:rsidR="00A00F0E">
        <w:t xml:space="preserve"> the Flange </w:t>
      </w:r>
      <w:proofErr w:type="spellStart"/>
      <w:r w:rsidR="00A00F0E">
        <w:t>Fiducial</w:t>
      </w:r>
      <w:proofErr w:type="spellEnd"/>
      <w:r w:rsidR="00A00F0E">
        <w:t xml:space="preserve"> pattern of pinholes (</w:t>
      </w:r>
      <w:r w:rsidR="00747663">
        <w:t xml:space="preserve">see </w:t>
      </w:r>
      <w:r w:rsidR="00A00F0E" w:rsidRPr="00492C81">
        <w:t>SCI-US-TRP-SV03-2012</w:t>
      </w:r>
      <w:r w:rsidR="00A00F0E">
        <w:t>, TC-HIPO-01).  The TAAS FCLS axes show</w:t>
      </w:r>
      <w:r w:rsidR="00747663">
        <w:t>ed</w:t>
      </w:r>
      <w:r w:rsidR="00A00F0E">
        <w:t xml:space="preserve"> the same orientation error in a vertical scan (i.e. the TAAS </w:t>
      </w:r>
      <w:r>
        <w:t>was</w:t>
      </w:r>
      <w:r w:rsidR="00A00F0E">
        <w:t xml:space="preserve"> well aligned with the Flange </w:t>
      </w:r>
      <w:proofErr w:type="spellStart"/>
      <w:r w:rsidR="00A00F0E">
        <w:t>Fiducial</w:t>
      </w:r>
      <w:proofErr w:type="spellEnd"/>
      <w:r w:rsidR="00A00F0E">
        <w:t>)</w:t>
      </w:r>
      <w:r w:rsidR="00747663">
        <w:t xml:space="preserve"> during the alignment transfer</w:t>
      </w:r>
      <w:r>
        <w:t xml:space="preserve"> activity</w:t>
      </w:r>
      <w:r w:rsidR="001B4EE2">
        <w:t xml:space="preserve"> on 20110626</w:t>
      </w:r>
      <w:r w:rsidR="00A00F0E">
        <w:t xml:space="preserve">.  A horizontal scan </w:t>
      </w:r>
      <w:r w:rsidR="00747663">
        <w:t>showed</w:t>
      </w:r>
      <w:r w:rsidR="00A00F0E">
        <w:t xml:space="preserve"> a smaller slope but with large</w:t>
      </w:r>
      <w:r w:rsidR="0036196D">
        <w:t>r</w:t>
      </w:r>
      <w:r w:rsidR="00A00F0E">
        <w:t xml:space="preserve"> scatter</w:t>
      </w:r>
      <w:r w:rsidR="0036196D">
        <w:t xml:space="preserve">. </w:t>
      </w:r>
      <w:r w:rsidR="005B6284">
        <w:t xml:space="preserve"> This is shown in Figure HC-12-2 below.  FCLS measurements made on</w:t>
      </w:r>
      <w:r>
        <w:t xml:space="preserve"> 2012</w:t>
      </w:r>
      <w:r w:rsidR="005B6284">
        <w:t>1005</w:t>
      </w:r>
      <w:r w:rsidR="0036196D">
        <w:t xml:space="preserve"> </w:t>
      </w:r>
      <w:r w:rsidR="006F29B1">
        <w:t xml:space="preserve">indicate that the FCLS axes are aligned with the Flange </w:t>
      </w:r>
      <w:proofErr w:type="spellStart"/>
      <w:r w:rsidR="006F29B1">
        <w:t>Fiducial</w:t>
      </w:r>
      <w:proofErr w:type="spellEnd"/>
      <w:r w:rsidR="006F29B1">
        <w:t xml:space="preserve"> with an uncertainty of about 0.05 degrees</w:t>
      </w:r>
      <w:r w:rsidR="0036196D">
        <w:t>.</w:t>
      </w:r>
    </w:p>
    <w:p w14:paraId="115C5098" w14:textId="77777777" w:rsidR="00C669FF" w:rsidRDefault="00C669FF"/>
    <w:p w14:paraId="67E13E35" w14:textId="26787C96" w:rsidR="008511E5" w:rsidRDefault="008511E5">
      <w:r>
        <w:rPr>
          <w:noProof/>
        </w:rPr>
        <w:drawing>
          <wp:inline distT="0" distB="0" distL="0" distR="0" wp14:anchorId="62DF82FD" wp14:editId="33B11D38">
            <wp:extent cx="2908935" cy="2004060"/>
            <wp:effectExtent l="0" t="0" r="37465" b="2794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Pr>
          <w:noProof/>
        </w:rPr>
        <w:drawing>
          <wp:inline distT="0" distB="0" distL="0" distR="0" wp14:anchorId="77503B8A" wp14:editId="48420040">
            <wp:extent cx="2934335" cy="2004060"/>
            <wp:effectExtent l="0" t="0" r="37465" b="2794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71C6D91" w14:textId="5254134D" w:rsidR="008511E5" w:rsidRDefault="008511E5">
      <w:pPr>
        <w:rPr>
          <w:noProof/>
        </w:rPr>
      </w:pPr>
    </w:p>
    <w:p w14:paraId="009358C8" w14:textId="0C861CC3" w:rsidR="00747663" w:rsidRDefault="00747663" w:rsidP="00747663">
      <w:pPr>
        <w:jc w:val="center"/>
      </w:pPr>
      <w:r>
        <w:t xml:space="preserve">Figure HC-12-2.  A vertical scan in the TAAS </w:t>
      </w:r>
      <w:r w:rsidR="005B6284">
        <w:t>on 20110626 (left) showed</w:t>
      </w:r>
      <w:r>
        <w:t xml:space="preserve"> the same angular offset relative to HIPO pixels that the Flange </w:t>
      </w:r>
      <w:proofErr w:type="spellStart"/>
      <w:r>
        <w:t>Fiducial</w:t>
      </w:r>
      <w:proofErr w:type="spellEnd"/>
      <w:r>
        <w:t xml:space="preserve"> </w:t>
      </w:r>
      <w:r w:rsidR="005B6284">
        <w:t>did</w:t>
      </w:r>
      <w:r>
        <w:t>, suggesting excellent FCLS ali</w:t>
      </w:r>
      <w:r w:rsidR="005B6284">
        <w:t>gnment.  A horizontal scan (right) showed</w:t>
      </w:r>
      <w:r>
        <w:t xml:space="preserve"> very little slope, but with much larger scatter. </w:t>
      </w:r>
    </w:p>
    <w:p w14:paraId="5EEECC13" w14:textId="77777777" w:rsidR="008511E5" w:rsidRDefault="008511E5">
      <w:pPr>
        <w:rPr>
          <w:noProof/>
        </w:rPr>
      </w:pPr>
      <w:bookmarkStart w:id="0" w:name="_GoBack"/>
      <w:bookmarkEnd w:id="0"/>
    </w:p>
    <w:sectPr w:rsidR="008511E5" w:rsidSect="00C669FF">
      <w:footerReference w:type="default" r:id="rId11"/>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9FB797" w14:textId="77777777" w:rsidR="006144E8" w:rsidRDefault="006144E8">
      <w:r>
        <w:separator/>
      </w:r>
    </w:p>
  </w:endnote>
  <w:endnote w:type="continuationSeparator" w:id="0">
    <w:p w14:paraId="103C74D3" w14:textId="77777777" w:rsidR="006144E8" w:rsidRDefault="00614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2A87" w:usb1="80000000" w:usb2="00000008"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2000500000000000000"/>
    <w:charset w:val="02"/>
    <w:family w:val="auto"/>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2A87" w:usb1="80000000" w:usb2="00000008" w:usb3="00000000" w:csb0="000001FF" w:csb1="00000000"/>
  </w:font>
  <w:font w:name="Helvetica">
    <w:panose1 w:val="00000000000000000000"/>
    <w:charset w:val="00"/>
    <w:family w:val="auto"/>
    <w:pitch w:val="variable"/>
    <w:sig w:usb0="E00002FF" w:usb1="5000785B"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A00002EF" w:usb1="4000207B" w:usb2="00000000" w:usb3="00000000" w:csb0="000000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A00002EF" w:usb1="4000004B"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6A020B" w14:textId="77777777" w:rsidR="006144E8" w:rsidRPr="00DC64F7" w:rsidRDefault="006144E8" w:rsidP="00C669FF">
    <w:pPr>
      <w:pStyle w:val="Footer"/>
      <w:jc w:val="center"/>
      <w:rPr>
        <w:b/>
      </w:rPr>
    </w:pPr>
    <w:r w:rsidRPr="00DC64F7">
      <w:rPr>
        <w:b/>
      </w:rPr>
      <w:t>VERIFY THAT THIS IS THE CORRECT VERSION BEFORE USE</w:t>
    </w:r>
  </w:p>
  <w:p w14:paraId="2CDD6C30" w14:textId="77777777" w:rsidR="006144E8" w:rsidRDefault="006144E8" w:rsidP="00C669FF">
    <w:pPr>
      <w:pStyle w:val="Footer"/>
      <w:jc w:val="center"/>
      <w:rPr>
        <w:rStyle w:val="PageNumber"/>
      </w:rPr>
    </w:pPr>
  </w:p>
  <w:p w14:paraId="458C4195" w14:textId="77777777" w:rsidR="006144E8" w:rsidRDefault="006144E8" w:rsidP="00C669FF">
    <w:pPr>
      <w:pStyle w:val="Footer"/>
      <w:jc w:val="center"/>
    </w:pPr>
    <w:r>
      <w:rPr>
        <w:rStyle w:val="PageNumber"/>
      </w:rPr>
      <w:fldChar w:fldCharType="begin"/>
    </w:r>
    <w:r>
      <w:rPr>
        <w:rStyle w:val="PageNumber"/>
      </w:rPr>
      <w:instrText xml:space="preserve"> PAGE </w:instrText>
    </w:r>
    <w:r>
      <w:rPr>
        <w:rStyle w:val="PageNumber"/>
      </w:rPr>
      <w:fldChar w:fldCharType="separate"/>
    </w:r>
    <w:r w:rsidR="005B6284">
      <w:rPr>
        <w:rStyle w:val="PageNumber"/>
        <w:noProof/>
      </w:rPr>
      <w:t>4</w:t>
    </w:r>
    <w:r>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8CA466" w14:textId="77777777" w:rsidR="006144E8" w:rsidRDefault="006144E8">
      <w:r>
        <w:separator/>
      </w:r>
    </w:p>
  </w:footnote>
  <w:footnote w:type="continuationSeparator" w:id="0">
    <w:p w14:paraId="00B8BD22" w14:textId="77777777" w:rsidR="006144E8" w:rsidRDefault="006144E8">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E0633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B"/>
    <w:multiLevelType w:val="multilevel"/>
    <w:tmpl w:val="4704EFE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
    <w:nsid w:val="00000003"/>
    <w:multiLevelType w:val="multilevel"/>
    <w:tmpl w:val="380ED17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nsid w:val="210A27C6"/>
    <w:multiLevelType w:val="hybridMultilevel"/>
    <w:tmpl w:val="EEDE3F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D526860"/>
    <w:multiLevelType w:val="hybridMultilevel"/>
    <w:tmpl w:val="EEDE3F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6F540A1"/>
    <w:multiLevelType w:val="multilevel"/>
    <w:tmpl w:val="8C6A2D20"/>
    <w:lvl w:ilvl="0">
      <w:start w:val="1"/>
      <w:numFmt w:val="upperLetter"/>
      <w:pStyle w:val="Appendix"/>
      <w:lvlText w:val="Appendix %1."/>
      <w:lvlJc w:val="left"/>
      <w:pPr>
        <w:tabs>
          <w:tab w:val="num" w:pos="2880"/>
        </w:tabs>
        <w:ind w:left="0" w:firstLine="0"/>
      </w:pPr>
      <w:rPr>
        <w:rFonts w:hint="default"/>
      </w:rPr>
    </w:lvl>
    <w:lvl w:ilvl="1">
      <w:start w:val="1"/>
      <w:numFmt w:val="decimalZero"/>
      <w:isLgl/>
      <w:lvlText w:val="Section %1.%2"/>
      <w:lvlJc w:val="left"/>
      <w:pPr>
        <w:tabs>
          <w:tab w:val="num" w:pos="2520"/>
        </w:tabs>
        <w:ind w:left="0" w:firstLine="0"/>
      </w:pPr>
      <w:rPr>
        <w:rFonts w:hint="default"/>
      </w:rPr>
    </w:lvl>
    <w:lvl w:ilvl="2">
      <w:start w:val="1"/>
      <w:numFmt w:val="lowerLetter"/>
      <w:lvlText w:val="(%3)"/>
      <w:lvlJc w:val="left"/>
      <w:pPr>
        <w:tabs>
          <w:tab w:val="num" w:pos="1008"/>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nsid w:val="64E043A2"/>
    <w:multiLevelType w:val="multilevel"/>
    <w:tmpl w:val="385EDB4E"/>
    <w:lvl w:ilvl="0">
      <w:start w:val="1"/>
      <w:numFmt w:val="decimal"/>
      <w:pStyle w:val="Heading1"/>
      <w:lvlText w:val="%1."/>
      <w:lvlJc w:val="left"/>
      <w:pPr>
        <w:tabs>
          <w:tab w:val="num" w:pos="360"/>
        </w:tabs>
        <w:ind w:left="360" w:hanging="360"/>
      </w:pPr>
    </w:lvl>
    <w:lvl w:ilvl="1">
      <w:start w:val="1"/>
      <w:numFmt w:val="decimal"/>
      <w:pStyle w:val="Heading2"/>
      <w:lvlText w:val="%1.%2."/>
      <w:lvlJc w:val="left"/>
      <w:pPr>
        <w:tabs>
          <w:tab w:val="num" w:pos="1080"/>
        </w:tabs>
        <w:ind w:left="792" w:hanging="432"/>
      </w:pPr>
    </w:lvl>
    <w:lvl w:ilvl="2">
      <w:start w:val="1"/>
      <w:numFmt w:val="decimal"/>
      <w:pStyle w:val="Heading3"/>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num w:numId="1">
    <w:abstractNumId w:val="2"/>
  </w:num>
  <w:num w:numId="2">
    <w:abstractNumId w:val="1"/>
  </w:num>
  <w:num w:numId="3">
    <w:abstractNumId w:val="6"/>
  </w:num>
  <w:num w:numId="4">
    <w:abstractNumId w:val="5"/>
  </w:num>
  <w:num w:numId="5">
    <w:abstractNumId w:val="0"/>
  </w:num>
  <w:num w:numId="6">
    <w:abstractNumId w:val="4"/>
  </w:num>
  <w:num w:numId="7">
    <w:abstractNumId w:val="3"/>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7BAE"/>
    <w:rsid w:val="000274D9"/>
    <w:rsid w:val="00087B4B"/>
    <w:rsid w:val="001B4EE2"/>
    <w:rsid w:val="0023494B"/>
    <w:rsid w:val="00292F8E"/>
    <w:rsid w:val="002B507D"/>
    <w:rsid w:val="002C4D8D"/>
    <w:rsid w:val="002E1B17"/>
    <w:rsid w:val="002E756C"/>
    <w:rsid w:val="0036196D"/>
    <w:rsid w:val="003B5F70"/>
    <w:rsid w:val="004255BF"/>
    <w:rsid w:val="00492C81"/>
    <w:rsid w:val="00586A04"/>
    <w:rsid w:val="005B6284"/>
    <w:rsid w:val="005F5F2A"/>
    <w:rsid w:val="006144E8"/>
    <w:rsid w:val="00664CC5"/>
    <w:rsid w:val="006E6E03"/>
    <w:rsid w:val="006F29B1"/>
    <w:rsid w:val="007353DA"/>
    <w:rsid w:val="00747663"/>
    <w:rsid w:val="007C2EFD"/>
    <w:rsid w:val="007E249D"/>
    <w:rsid w:val="008511E5"/>
    <w:rsid w:val="00853DAE"/>
    <w:rsid w:val="00887BAE"/>
    <w:rsid w:val="008E4C23"/>
    <w:rsid w:val="008F6C02"/>
    <w:rsid w:val="009044B9"/>
    <w:rsid w:val="009B3B47"/>
    <w:rsid w:val="009D24AD"/>
    <w:rsid w:val="00A00F0E"/>
    <w:rsid w:val="00A50CD3"/>
    <w:rsid w:val="00A8015B"/>
    <w:rsid w:val="00A927FC"/>
    <w:rsid w:val="00B96709"/>
    <w:rsid w:val="00BC2CC3"/>
    <w:rsid w:val="00BE291B"/>
    <w:rsid w:val="00C16AD0"/>
    <w:rsid w:val="00C45B4A"/>
    <w:rsid w:val="00C669FF"/>
    <w:rsid w:val="00C74D9F"/>
    <w:rsid w:val="00CE001F"/>
    <w:rsid w:val="00D3784D"/>
    <w:rsid w:val="00D61E47"/>
    <w:rsid w:val="00D636C8"/>
    <w:rsid w:val="00D837BE"/>
    <w:rsid w:val="00DB60C5"/>
    <w:rsid w:val="00E94219"/>
    <w:rsid w:val="00F65A94"/>
    <w:rsid w:val="00FB23AB"/>
    <w:rsid w:val="00FB38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1528209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w:hAnsi="Times"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unhideWhenUsed="0"/>
    <w:lsdException w:name="Note Level 2" w:semiHidden="0" w:uiPriority="1" w:unhideWhenUsed="0" w:qFormat="1"/>
    <w:lsdException w:name="Note Level 3" w:semiHidden="0" w:uiPriority="60" w:unhideWhenUsed="0"/>
    <w:lsdException w:name="Note Level 4" w:semiHidden="0" w:uiPriority="61" w:unhideWhenUsed="0"/>
    <w:lsdException w:name="Note Level 5" w:semiHidden="0" w:uiPriority="62" w:unhideWhenUsed="0"/>
    <w:lsdException w:name="Note Level 6" w:semiHidden="0" w:uiPriority="63" w:unhideWhenUsed="0"/>
    <w:lsdException w:name="Note Level 7" w:semiHidden="0" w:uiPriority="64" w:unhideWhenUsed="0"/>
    <w:lsdException w:name="Note Level 8" w:semiHidden="0" w:uiPriority="65" w:unhideWhenUsed="0"/>
    <w:lsdException w:name="Note Level 9" w:semiHidden="0" w:uiPriority="66"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paragraph" w:styleId="Heading1">
    <w:name w:val="heading 1"/>
    <w:basedOn w:val="Normal"/>
    <w:next w:val="Normal"/>
    <w:autoRedefine/>
    <w:qFormat/>
    <w:rsid w:val="00BF4141"/>
    <w:pPr>
      <w:keepLines/>
      <w:numPr>
        <w:numId w:val="3"/>
      </w:numPr>
      <w:shd w:val="pct10" w:color="auto" w:fill="auto"/>
      <w:tabs>
        <w:tab w:val="left" w:pos="720"/>
        <w:tab w:val="left" w:pos="1440"/>
        <w:tab w:val="right" w:pos="8730"/>
      </w:tabs>
      <w:spacing w:before="360" w:after="220" w:line="280" w:lineRule="atLeast"/>
      <w:outlineLvl w:val="0"/>
    </w:pPr>
    <w:rPr>
      <w:rFonts w:eastAsia="Times New Roman"/>
      <w:b/>
      <w:caps/>
      <w:color w:val="000000"/>
      <w:spacing w:val="-4"/>
      <w:sz w:val="28"/>
    </w:rPr>
  </w:style>
  <w:style w:type="paragraph" w:styleId="Heading2">
    <w:name w:val="heading 2"/>
    <w:basedOn w:val="Normal"/>
    <w:next w:val="Normal"/>
    <w:autoRedefine/>
    <w:qFormat/>
    <w:rsid w:val="00BF4141"/>
    <w:pPr>
      <w:keepNext/>
      <w:keepLines/>
      <w:numPr>
        <w:ilvl w:val="1"/>
        <w:numId w:val="3"/>
      </w:numPr>
      <w:tabs>
        <w:tab w:val="left" w:pos="720"/>
        <w:tab w:val="left" w:pos="1440"/>
        <w:tab w:val="right" w:pos="8730"/>
      </w:tabs>
      <w:spacing w:before="240" w:after="240" w:line="220" w:lineRule="atLeast"/>
      <w:ind w:left="432"/>
      <w:outlineLvl w:val="1"/>
    </w:pPr>
    <w:rPr>
      <w:rFonts w:eastAsia="Times New Roman"/>
      <w:b/>
      <w:color w:val="000000"/>
      <w:spacing w:val="-4"/>
    </w:rPr>
  </w:style>
  <w:style w:type="paragraph" w:styleId="Heading3">
    <w:name w:val="heading 3"/>
    <w:basedOn w:val="Normal"/>
    <w:next w:val="Normal"/>
    <w:qFormat/>
    <w:pPr>
      <w:keepLines/>
      <w:numPr>
        <w:ilvl w:val="2"/>
        <w:numId w:val="3"/>
      </w:numPr>
      <w:tabs>
        <w:tab w:val="left" w:pos="864"/>
        <w:tab w:val="right" w:pos="8730"/>
      </w:tabs>
      <w:spacing w:before="120" w:line="220" w:lineRule="atLeast"/>
      <w:outlineLvl w:val="2"/>
    </w:pPr>
    <w:rPr>
      <w:rFonts w:eastAsia="Times New Roman"/>
      <w:b/>
      <w:color w:val="000000"/>
      <w:spacing w:val="-4"/>
      <w:kern w:val="28"/>
    </w:rPr>
  </w:style>
  <w:style w:type="paragraph" w:styleId="Heading4">
    <w:name w:val="heading 4"/>
    <w:aliases w:val="H4"/>
    <w:basedOn w:val="Normal"/>
    <w:qFormat/>
    <w:pPr>
      <w:keepNext/>
      <w:keepLines/>
      <w:numPr>
        <w:ilvl w:val="3"/>
        <w:numId w:val="1"/>
      </w:numPr>
      <w:tabs>
        <w:tab w:val="left" w:pos="720"/>
        <w:tab w:val="left" w:pos="1440"/>
        <w:tab w:val="right" w:pos="8730"/>
      </w:tabs>
      <w:spacing w:before="120" w:line="220" w:lineRule="atLeast"/>
      <w:outlineLvl w:val="3"/>
    </w:pPr>
    <w:rPr>
      <w:rFonts w:eastAsia="Times New Roman"/>
      <w:b/>
      <w:color w:val="000000"/>
      <w:spacing w:val="-4"/>
      <w:kern w:val="28"/>
    </w:rPr>
  </w:style>
  <w:style w:type="paragraph" w:styleId="Heading5">
    <w:name w:val="heading 5"/>
    <w:aliases w:val="5,H5"/>
    <w:basedOn w:val="Normal"/>
    <w:next w:val="Normal"/>
    <w:qFormat/>
    <w:pPr>
      <w:keepNext/>
      <w:keepLines/>
      <w:numPr>
        <w:ilvl w:val="4"/>
        <w:numId w:val="1"/>
      </w:numPr>
      <w:tabs>
        <w:tab w:val="left" w:pos="720"/>
        <w:tab w:val="left" w:pos="1440"/>
        <w:tab w:val="right" w:pos="8730"/>
      </w:tabs>
      <w:spacing w:before="220" w:after="220" w:line="220" w:lineRule="atLeast"/>
      <w:outlineLvl w:val="4"/>
    </w:pPr>
    <w:rPr>
      <w:rFonts w:eastAsia="Times New Roman"/>
      <w:color w:val="000000"/>
      <w:spacing w:val="-4"/>
      <w:kern w:val="28"/>
    </w:rPr>
  </w:style>
  <w:style w:type="paragraph" w:styleId="Heading6">
    <w:name w:val="heading 6"/>
    <w:aliases w:val="6"/>
    <w:basedOn w:val="Normal"/>
    <w:next w:val="Normal"/>
    <w:qFormat/>
    <w:pPr>
      <w:keepNext/>
      <w:keepLines/>
      <w:numPr>
        <w:ilvl w:val="5"/>
        <w:numId w:val="1"/>
      </w:numPr>
      <w:tabs>
        <w:tab w:val="left" w:pos="720"/>
        <w:tab w:val="left" w:pos="1440"/>
        <w:tab w:val="right" w:pos="8730"/>
      </w:tabs>
      <w:spacing w:before="140" w:line="220" w:lineRule="atLeast"/>
      <w:outlineLvl w:val="5"/>
    </w:pPr>
    <w:rPr>
      <w:rFonts w:ascii="Times New Roman" w:eastAsia="Times New Roman" w:hAnsi="Times New Roman"/>
      <w:i/>
      <w:color w:val="000000"/>
      <w:spacing w:val="-4"/>
      <w:kern w:val="28"/>
      <w:sz w:val="20"/>
    </w:rPr>
  </w:style>
  <w:style w:type="paragraph" w:styleId="Heading7">
    <w:name w:val="heading 7"/>
    <w:basedOn w:val="Normal"/>
    <w:next w:val="Normal"/>
    <w:qFormat/>
    <w:pPr>
      <w:keepNext/>
      <w:keepLines/>
      <w:numPr>
        <w:ilvl w:val="6"/>
        <w:numId w:val="1"/>
      </w:numPr>
      <w:tabs>
        <w:tab w:val="left" w:pos="720"/>
        <w:tab w:val="left" w:pos="1440"/>
        <w:tab w:val="right" w:pos="8730"/>
      </w:tabs>
      <w:spacing w:before="140" w:line="220" w:lineRule="atLeast"/>
      <w:outlineLvl w:val="6"/>
    </w:pPr>
    <w:rPr>
      <w:rFonts w:ascii="Times New Roman" w:eastAsia="Times New Roman" w:hAnsi="Times New Roman"/>
      <w:color w:val="000000"/>
      <w:spacing w:val="-4"/>
      <w:kern w:val="28"/>
      <w:sz w:val="20"/>
    </w:rPr>
  </w:style>
  <w:style w:type="paragraph" w:styleId="Heading8">
    <w:name w:val="heading 8"/>
    <w:basedOn w:val="Normal"/>
    <w:next w:val="Normal"/>
    <w:qFormat/>
    <w:pPr>
      <w:keepNext/>
      <w:keepLines/>
      <w:numPr>
        <w:ilvl w:val="7"/>
        <w:numId w:val="1"/>
      </w:numPr>
      <w:tabs>
        <w:tab w:val="left" w:pos="720"/>
        <w:tab w:val="right" w:pos="8730"/>
      </w:tabs>
      <w:spacing w:before="140" w:line="220" w:lineRule="atLeast"/>
      <w:outlineLvl w:val="7"/>
    </w:pPr>
    <w:rPr>
      <w:rFonts w:ascii="Arial" w:eastAsia="Times New Roman" w:hAnsi="Arial"/>
      <w:i/>
      <w:color w:val="000000"/>
      <w:spacing w:val="-4"/>
      <w:kern w:val="28"/>
      <w:sz w:val="18"/>
    </w:rPr>
  </w:style>
  <w:style w:type="paragraph" w:styleId="Heading9">
    <w:name w:val="heading 9"/>
    <w:basedOn w:val="Normal"/>
    <w:next w:val="Normal"/>
    <w:qFormat/>
    <w:pPr>
      <w:keepNext/>
      <w:keepLines/>
      <w:numPr>
        <w:ilvl w:val="8"/>
        <w:numId w:val="1"/>
      </w:numPr>
      <w:tabs>
        <w:tab w:val="left" w:pos="720"/>
        <w:tab w:val="left" w:pos="1440"/>
        <w:tab w:val="right" w:pos="8730"/>
      </w:tabs>
      <w:spacing w:before="140" w:line="220" w:lineRule="atLeast"/>
      <w:outlineLvl w:val="8"/>
    </w:pPr>
    <w:rPr>
      <w:rFonts w:ascii="Arial" w:eastAsia="Times New Roman" w:hAnsi="Arial"/>
      <w:color w:val="000000"/>
      <w:spacing w:val="-4"/>
      <w:kern w:val="28"/>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figuretitle">
    <w:name w:val="figuretitle"/>
    <w:basedOn w:val="Normal"/>
    <w:pPr>
      <w:spacing w:before="120" w:after="480"/>
      <w:jc w:val="center"/>
    </w:pPr>
    <w:rPr>
      <w:rFonts w:eastAsia="Times New Roman"/>
    </w:rPr>
  </w:style>
  <w:style w:type="paragraph" w:customStyle="1" w:styleId="parid">
    <w:name w:val="parid"/>
    <w:rPr>
      <w:rFonts w:eastAsia="Times New Roman"/>
      <w:sz w:val="24"/>
    </w:rPr>
  </w:style>
  <w:style w:type="paragraph" w:customStyle="1" w:styleId="FigureTitle0">
    <w:name w:val="Figure Title"/>
    <w:basedOn w:val="Normal"/>
    <w:rsid w:val="00DC64F7"/>
    <w:pPr>
      <w:spacing w:before="120" w:after="120"/>
    </w:pPr>
    <w:rPr>
      <w:rFonts w:ascii="Times New Roman" w:eastAsia="Times New Roman" w:hAnsi="Times New Roman"/>
    </w:rPr>
  </w:style>
  <w:style w:type="paragraph" w:customStyle="1" w:styleId="TitleCover">
    <w:name w:val="Title Cover"/>
    <w:basedOn w:val="Normal"/>
    <w:next w:val="Normal"/>
    <w:autoRedefine/>
    <w:rsid w:val="00FC26AA"/>
    <w:pPr>
      <w:keepNext/>
      <w:keepLines/>
      <w:tabs>
        <w:tab w:val="left" w:pos="720"/>
        <w:tab w:val="left" w:pos="1440"/>
        <w:tab w:val="left" w:pos="4060"/>
      </w:tabs>
      <w:spacing w:before="240" w:line="240" w:lineRule="atLeast"/>
      <w:ind w:firstLine="720"/>
      <w:jc w:val="center"/>
    </w:pPr>
    <w:rPr>
      <w:rFonts w:eastAsia="Times New Roman"/>
      <w:b/>
      <w:color w:val="000000"/>
      <w:spacing w:val="-48"/>
      <w:kern w:val="28"/>
      <w:sz w:val="72"/>
    </w:rPr>
  </w:style>
  <w:style w:type="paragraph" w:customStyle="1" w:styleId="BodyTextLeftBold">
    <w:name w:val="Body Text Left Bold"/>
    <w:basedOn w:val="Normal"/>
    <w:autoRedefine/>
    <w:pPr>
      <w:pBdr>
        <w:right w:val="single" w:sz="12" w:space="0" w:color="auto"/>
      </w:pBdr>
      <w:tabs>
        <w:tab w:val="left" w:pos="720"/>
        <w:tab w:val="left" w:pos="1440"/>
        <w:tab w:val="left" w:pos="3690"/>
        <w:tab w:val="right" w:pos="8730"/>
      </w:tabs>
      <w:outlineLvl w:val="0"/>
    </w:pPr>
    <w:rPr>
      <w:rFonts w:eastAsia="Times New Roman"/>
      <w:b/>
      <w:color w:val="000000"/>
      <w:sz w:val="28"/>
    </w:rPr>
  </w:style>
  <w:style w:type="paragraph" w:styleId="TOC1">
    <w:name w:val="toc 1"/>
    <w:basedOn w:val="Normal"/>
    <w:autoRedefine/>
    <w:semiHidden/>
    <w:rsid w:val="0063135A"/>
    <w:pPr>
      <w:tabs>
        <w:tab w:val="left" w:pos="420"/>
        <w:tab w:val="right" w:leader="dot" w:pos="9350"/>
      </w:tabs>
      <w:spacing w:before="120" w:after="120"/>
    </w:pPr>
    <w:rPr>
      <w:caps/>
      <w:sz w:val="22"/>
      <w:szCs w:val="22"/>
    </w:rPr>
  </w:style>
  <w:style w:type="paragraph" w:styleId="TOC2">
    <w:name w:val="toc 2"/>
    <w:basedOn w:val="Normal"/>
    <w:autoRedefine/>
    <w:semiHidden/>
    <w:rsid w:val="00BF4141"/>
    <w:pPr>
      <w:ind w:left="240"/>
    </w:pPr>
    <w:rPr>
      <w:rFonts w:ascii="Times New Roman" w:hAnsi="Times New Roman"/>
      <w:smallCaps/>
      <w:sz w:val="22"/>
    </w:rPr>
  </w:style>
  <w:style w:type="paragraph" w:customStyle="1" w:styleId="PageTitle">
    <w:name w:val="Page Title"/>
    <w:basedOn w:val="Title"/>
    <w:autoRedefine/>
    <w:rsid w:val="00DC64F7"/>
    <w:pPr>
      <w:tabs>
        <w:tab w:val="left" w:pos="720"/>
        <w:tab w:val="left" w:pos="1440"/>
        <w:tab w:val="right" w:pos="8730"/>
      </w:tabs>
      <w:spacing w:before="0" w:after="400" w:line="540" w:lineRule="atLeast"/>
      <w:jc w:val="left"/>
      <w:outlineLvl w:val="9"/>
    </w:pPr>
    <w:rPr>
      <w:rFonts w:ascii="Times" w:eastAsia="Times New Roman" w:hAnsi="Times"/>
      <w:b w:val="0"/>
      <w:caps/>
      <w:color w:val="000000"/>
      <w:spacing w:val="-40"/>
      <w:sz w:val="40"/>
    </w:rPr>
  </w:style>
  <w:style w:type="paragraph" w:styleId="TOAHeading">
    <w:name w:val="toa heading"/>
    <w:basedOn w:val="Normal"/>
    <w:next w:val="Normal"/>
    <w:semiHidden/>
    <w:pPr>
      <w:keepNext/>
      <w:tabs>
        <w:tab w:val="left" w:pos="720"/>
        <w:tab w:val="left" w:pos="1440"/>
        <w:tab w:val="right" w:pos="8730"/>
      </w:tabs>
      <w:spacing w:before="240" w:after="240" w:line="360" w:lineRule="exact"/>
      <w:jc w:val="center"/>
    </w:pPr>
    <w:rPr>
      <w:rFonts w:ascii="Arial" w:eastAsia="Times New Roman" w:hAnsi="Arial"/>
      <w:b/>
      <w:color w:val="000000"/>
      <w:kern w:val="28"/>
      <w:sz w:val="28"/>
    </w:rPr>
  </w:style>
  <w:style w:type="paragraph" w:customStyle="1" w:styleId="normal0">
    <w:name w:val="normal"/>
    <w:basedOn w:val="Normal"/>
    <w:rPr>
      <w:rFonts w:ascii="Times New Roman" w:eastAsia="Times New Roman" w:hAnsi="Times New Roman"/>
      <w:sz w:val="20"/>
    </w:rPr>
  </w:style>
  <w:style w:type="paragraph" w:styleId="Title">
    <w:name w:val="Title"/>
    <w:basedOn w:val="Normal"/>
    <w:qFormat/>
    <w:pPr>
      <w:spacing w:before="240" w:after="60"/>
      <w:jc w:val="center"/>
      <w:outlineLvl w:val="0"/>
    </w:pPr>
    <w:rPr>
      <w:rFonts w:ascii="Helvetica" w:hAnsi="Helvetica"/>
      <w:b/>
      <w:kern w:val="28"/>
      <w:sz w:val="32"/>
    </w:rPr>
  </w:style>
  <w:style w:type="paragraph" w:styleId="TOC3">
    <w:name w:val="toc 3"/>
    <w:basedOn w:val="Normal"/>
    <w:next w:val="Normal"/>
    <w:autoRedefine/>
    <w:semiHidden/>
    <w:pPr>
      <w:ind w:left="480"/>
    </w:pPr>
    <w:rPr>
      <w:rFonts w:ascii="Times New Roman" w:hAnsi="Times New Roman"/>
      <w:i/>
      <w:sz w:val="20"/>
    </w:rPr>
  </w:style>
  <w:style w:type="paragraph" w:styleId="TOC4">
    <w:name w:val="toc 4"/>
    <w:basedOn w:val="Normal"/>
    <w:next w:val="Normal"/>
    <w:autoRedefine/>
    <w:semiHidden/>
    <w:pPr>
      <w:ind w:left="720"/>
    </w:pPr>
    <w:rPr>
      <w:rFonts w:ascii="Times New Roman" w:hAnsi="Times New Roman"/>
      <w:sz w:val="18"/>
      <w:szCs w:val="18"/>
    </w:rPr>
  </w:style>
  <w:style w:type="paragraph" w:styleId="TOC5">
    <w:name w:val="toc 5"/>
    <w:basedOn w:val="Normal"/>
    <w:next w:val="Normal"/>
    <w:autoRedefine/>
    <w:semiHidden/>
    <w:pPr>
      <w:ind w:left="960"/>
    </w:pPr>
    <w:rPr>
      <w:rFonts w:ascii="Times New Roman" w:hAnsi="Times New Roman"/>
      <w:sz w:val="18"/>
      <w:szCs w:val="18"/>
    </w:rPr>
  </w:style>
  <w:style w:type="paragraph" w:styleId="TOC6">
    <w:name w:val="toc 6"/>
    <w:basedOn w:val="Normal"/>
    <w:next w:val="Normal"/>
    <w:autoRedefine/>
    <w:semiHidden/>
    <w:pPr>
      <w:ind w:left="1200"/>
    </w:pPr>
    <w:rPr>
      <w:rFonts w:ascii="Times New Roman" w:hAnsi="Times New Roman"/>
      <w:sz w:val="18"/>
      <w:szCs w:val="18"/>
    </w:rPr>
  </w:style>
  <w:style w:type="paragraph" w:styleId="TOC7">
    <w:name w:val="toc 7"/>
    <w:basedOn w:val="Normal"/>
    <w:next w:val="Normal"/>
    <w:autoRedefine/>
    <w:semiHidden/>
    <w:pPr>
      <w:ind w:left="1440"/>
    </w:pPr>
    <w:rPr>
      <w:rFonts w:ascii="Times New Roman" w:hAnsi="Times New Roman"/>
      <w:sz w:val="18"/>
      <w:szCs w:val="18"/>
    </w:rPr>
  </w:style>
  <w:style w:type="paragraph" w:styleId="TOC8">
    <w:name w:val="toc 8"/>
    <w:basedOn w:val="Normal"/>
    <w:next w:val="Normal"/>
    <w:autoRedefine/>
    <w:semiHidden/>
    <w:pPr>
      <w:ind w:left="1680"/>
    </w:pPr>
    <w:rPr>
      <w:rFonts w:ascii="Times New Roman" w:hAnsi="Times New Roman"/>
      <w:sz w:val="18"/>
      <w:szCs w:val="18"/>
    </w:rPr>
  </w:style>
  <w:style w:type="paragraph" w:styleId="TOC9">
    <w:name w:val="toc 9"/>
    <w:basedOn w:val="Normal"/>
    <w:next w:val="Normal"/>
    <w:autoRedefine/>
    <w:semiHidden/>
    <w:pPr>
      <w:ind w:left="1920"/>
    </w:pPr>
    <w:rPr>
      <w:rFonts w:ascii="Times New Roman" w:hAnsi="Times New Roman"/>
      <w:sz w:val="18"/>
      <w:szCs w:val="18"/>
    </w:rPr>
  </w:style>
  <w:style w:type="table" w:styleId="TableGrid">
    <w:name w:val="Table Grid"/>
    <w:basedOn w:val="TableNormal"/>
    <w:rsid w:val="00F653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geHeader">
    <w:name w:val="Page Header"/>
    <w:basedOn w:val="Normal"/>
    <w:next w:val="Heading1"/>
    <w:rsid w:val="00F653CE"/>
    <w:pPr>
      <w:spacing w:after="360"/>
      <w:jc w:val="center"/>
    </w:pPr>
    <w:rPr>
      <w:b/>
      <w:sz w:val="36"/>
    </w:rPr>
  </w:style>
  <w:style w:type="paragraph" w:customStyle="1" w:styleId="Appendix">
    <w:name w:val="Appendix"/>
    <w:basedOn w:val="Heading1"/>
    <w:next w:val="Normal"/>
    <w:autoRedefine/>
    <w:rsid w:val="00BF4141"/>
    <w:pPr>
      <w:keepLines w:val="0"/>
      <w:pageBreakBefore/>
      <w:numPr>
        <w:numId w:val="4"/>
      </w:numPr>
    </w:pPr>
  </w:style>
  <w:style w:type="paragraph" w:styleId="BalloonText">
    <w:name w:val="Balloon Text"/>
    <w:basedOn w:val="Normal"/>
    <w:link w:val="BalloonTextChar"/>
    <w:uiPriority w:val="99"/>
    <w:semiHidden/>
    <w:unhideWhenUsed/>
    <w:rsid w:val="009D24A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D24AD"/>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w:hAnsi="Times"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unhideWhenUsed="0"/>
    <w:lsdException w:name="Note Level 2" w:semiHidden="0" w:uiPriority="1" w:unhideWhenUsed="0" w:qFormat="1"/>
    <w:lsdException w:name="Note Level 3" w:semiHidden="0" w:uiPriority="60" w:unhideWhenUsed="0"/>
    <w:lsdException w:name="Note Level 4" w:semiHidden="0" w:uiPriority="61" w:unhideWhenUsed="0"/>
    <w:lsdException w:name="Note Level 5" w:semiHidden="0" w:uiPriority="62" w:unhideWhenUsed="0"/>
    <w:lsdException w:name="Note Level 6" w:semiHidden="0" w:uiPriority="63" w:unhideWhenUsed="0"/>
    <w:lsdException w:name="Note Level 7" w:semiHidden="0" w:uiPriority="64" w:unhideWhenUsed="0"/>
    <w:lsdException w:name="Note Level 8" w:semiHidden="0" w:uiPriority="65" w:unhideWhenUsed="0"/>
    <w:lsdException w:name="Note Level 9" w:semiHidden="0" w:uiPriority="66"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paragraph" w:styleId="Heading1">
    <w:name w:val="heading 1"/>
    <w:basedOn w:val="Normal"/>
    <w:next w:val="Normal"/>
    <w:autoRedefine/>
    <w:qFormat/>
    <w:rsid w:val="00BF4141"/>
    <w:pPr>
      <w:keepLines/>
      <w:numPr>
        <w:numId w:val="3"/>
      </w:numPr>
      <w:shd w:val="pct10" w:color="auto" w:fill="auto"/>
      <w:tabs>
        <w:tab w:val="left" w:pos="720"/>
        <w:tab w:val="left" w:pos="1440"/>
        <w:tab w:val="right" w:pos="8730"/>
      </w:tabs>
      <w:spacing w:before="360" w:after="220" w:line="280" w:lineRule="atLeast"/>
      <w:outlineLvl w:val="0"/>
    </w:pPr>
    <w:rPr>
      <w:rFonts w:eastAsia="Times New Roman"/>
      <w:b/>
      <w:caps/>
      <w:color w:val="000000"/>
      <w:spacing w:val="-4"/>
      <w:sz w:val="28"/>
    </w:rPr>
  </w:style>
  <w:style w:type="paragraph" w:styleId="Heading2">
    <w:name w:val="heading 2"/>
    <w:basedOn w:val="Normal"/>
    <w:next w:val="Normal"/>
    <w:autoRedefine/>
    <w:qFormat/>
    <w:rsid w:val="00BF4141"/>
    <w:pPr>
      <w:keepNext/>
      <w:keepLines/>
      <w:numPr>
        <w:ilvl w:val="1"/>
        <w:numId w:val="3"/>
      </w:numPr>
      <w:tabs>
        <w:tab w:val="left" w:pos="720"/>
        <w:tab w:val="left" w:pos="1440"/>
        <w:tab w:val="right" w:pos="8730"/>
      </w:tabs>
      <w:spacing w:before="240" w:after="240" w:line="220" w:lineRule="atLeast"/>
      <w:ind w:left="432"/>
      <w:outlineLvl w:val="1"/>
    </w:pPr>
    <w:rPr>
      <w:rFonts w:eastAsia="Times New Roman"/>
      <w:b/>
      <w:color w:val="000000"/>
      <w:spacing w:val="-4"/>
    </w:rPr>
  </w:style>
  <w:style w:type="paragraph" w:styleId="Heading3">
    <w:name w:val="heading 3"/>
    <w:basedOn w:val="Normal"/>
    <w:next w:val="Normal"/>
    <w:qFormat/>
    <w:pPr>
      <w:keepLines/>
      <w:numPr>
        <w:ilvl w:val="2"/>
        <w:numId w:val="3"/>
      </w:numPr>
      <w:tabs>
        <w:tab w:val="left" w:pos="864"/>
        <w:tab w:val="right" w:pos="8730"/>
      </w:tabs>
      <w:spacing w:before="120" w:line="220" w:lineRule="atLeast"/>
      <w:outlineLvl w:val="2"/>
    </w:pPr>
    <w:rPr>
      <w:rFonts w:eastAsia="Times New Roman"/>
      <w:b/>
      <w:color w:val="000000"/>
      <w:spacing w:val="-4"/>
      <w:kern w:val="28"/>
    </w:rPr>
  </w:style>
  <w:style w:type="paragraph" w:styleId="Heading4">
    <w:name w:val="heading 4"/>
    <w:aliases w:val="H4"/>
    <w:basedOn w:val="Normal"/>
    <w:qFormat/>
    <w:pPr>
      <w:keepNext/>
      <w:keepLines/>
      <w:numPr>
        <w:ilvl w:val="3"/>
        <w:numId w:val="1"/>
      </w:numPr>
      <w:tabs>
        <w:tab w:val="left" w:pos="720"/>
        <w:tab w:val="left" w:pos="1440"/>
        <w:tab w:val="right" w:pos="8730"/>
      </w:tabs>
      <w:spacing w:before="120" w:line="220" w:lineRule="atLeast"/>
      <w:outlineLvl w:val="3"/>
    </w:pPr>
    <w:rPr>
      <w:rFonts w:eastAsia="Times New Roman"/>
      <w:b/>
      <w:color w:val="000000"/>
      <w:spacing w:val="-4"/>
      <w:kern w:val="28"/>
    </w:rPr>
  </w:style>
  <w:style w:type="paragraph" w:styleId="Heading5">
    <w:name w:val="heading 5"/>
    <w:aliases w:val="5,H5"/>
    <w:basedOn w:val="Normal"/>
    <w:next w:val="Normal"/>
    <w:qFormat/>
    <w:pPr>
      <w:keepNext/>
      <w:keepLines/>
      <w:numPr>
        <w:ilvl w:val="4"/>
        <w:numId w:val="1"/>
      </w:numPr>
      <w:tabs>
        <w:tab w:val="left" w:pos="720"/>
        <w:tab w:val="left" w:pos="1440"/>
        <w:tab w:val="right" w:pos="8730"/>
      </w:tabs>
      <w:spacing w:before="220" w:after="220" w:line="220" w:lineRule="atLeast"/>
      <w:outlineLvl w:val="4"/>
    </w:pPr>
    <w:rPr>
      <w:rFonts w:eastAsia="Times New Roman"/>
      <w:color w:val="000000"/>
      <w:spacing w:val="-4"/>
      <w:kern w:val="28"/>
    </w:rPr>
  </w:style>
  <w:style w:type="paragraph" w:styleId="Heading6">
    <w:name w:val="heading 6"/>
    <w:aliases w:val="6"/>
    <w:basedOn w:val="Normal"/>
    <w:next w:val="Normal"/>
    <w:qFormat/>
    <w:pPr>
      <w:keepNext/>
      <w:keepLines/>
      <w:numPr>
        <w:ilvl w:val="5"/>
        <w:numId w:val="1"/>
      </w:numPr>
      <w:tabs>
        <w:tab w:val="left" w:pos="720"/>
        <w:tab w:val="left" w:pos="1440"/>
        <w:tab w:val="right" w:pos="8730"/>
      </w:tabs>
      <w:spacing w:before="140" w:line="220" w:lineRule="atLeast"/>
      <w:outlineLvl w:val="5"/>
    </w:pPr>
    <w:rPr>
      <w:rFonts w:ascii="Times New Roman" w:eastAsia="Times New Roman" w:hAnsi="Times New Roman"/>
      <w:i/>
      <w:color w:val="000000"/>
      <w:spacing w:val="-4"/>
      <w:kern w:val="28"/>
      <w:sz w:val="20"/>
    </w:rPr>
  </w:style>
  <w:style w:type="paragraph" w:styleId="Heading7">
    <w:name w:val="heading 7"/>
    <w:basedOn w:val="Normal"/>
    <w:next w:val="Normal"/>
    <w:qFormat/>
    <w:pPr>
      <w:keepNext/>
      <w:keepLines/>
      <w:numPr>
        <w:ilvl w:val="6"/>
        <w:numId w:val="1"/>
      </w:numPr>
      <w:tabs>
        <w:tab w:val="left" w:pos="720"/>
        <w:tab w:val="left" w:pos="1440"/>
        <w:tab w:val="right" w:pos="8730"/>
      </w:tabs>
      <w:spacing w:before="140" w:line="220" w:lineRule="atLeast"/>
      <w:outlineLvl w:val="6"/>
    </w:pPr>
    <w:rPr>
      <w:rFonts w:ascii="Times New Roman" w:eastAsia="Times New Roman" w:hAnsi="Times New Roman"/>
      <w:color w:val="000000"/>
      <w:spacing w:val="-4"/>
      <w:kern w:val="28"/>
      <w:sz w:val="20"/>
    </w:rPr>
  </w:style>
  <w:style w:type="paragraph" w:styleId="Heading8">
    <w:name w:val="heading 8"/>
    <w:basedOn w:val="Normal"/>
    <w:next w:val="Normal"/>
    <w:qFormat/>
    <w:pPr>
      <w:keepNext/>
      <w:keepLines/>
      <w:numPr>
        <w:ilvl w:val="7"/>
        <w:numId w:val="1"/>
      </w:numPr>
      <w:tabs>
        <w:tab w:val="left" w:pos="720"/>
        <w:tab w:val="right" w:pos="8730"/>
      </w:tabs>
      <w:spacing w:before="140" w:line="220" w:lineRule="atLeast"/>
      <w:outlineLvl w:val="7"/>
    </w:pPr>
    <w:rPr>
      <w:rFonts w:ascii="Arial" w:eastAsia="Times New Roman" w:hAnsi="Arial"/>
      <w:i/>
      <w:color w:val="000000"/>
      <w:spacing w:val="-4"/>
      <w:kern w:val="28"/>
      <w:sz w:val="18"/>
    </w:rPr>
  </w:style>
  <w:style w:type="paragraph" w:styleId="Heading9">
    <w:name w:val="heading 9"/>
    <w:basedOn w:val="Normal"/>
    <w:next w:val="Normal"/>
    <w:qFormat/>
    <w:pPr>
      <w:keepNext/>
      <w:keepLines/>
      <w:numPr>
        <w:ilvl w:val="8"/>
        <w:numId w:val="1"/>
      </w:numPr>
      <w:tabs>
        <w:tab w:val="left" w:pos="720"/>
        <w:tab w:val="left" w:pos="1440"/>
        <w:tab w:val="right" w:pos="8730"/>
      </w:tabs>
      <w:spacing w:before="140" w:line="220" w:lineRule="atLeast"/>
      <w:outlineLvl w:val="8"/>
    </w:pPr>
    <w:rPr>
      <w:rFonts w:ascii="Arial" w:eastAsia="Times New Roman" w:hAnsi="Arial"/>
      <w:color w:val="000000"/>
      <w:spacing w:val="-4"/>
      <w:kern w:val="28"/>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figuretitle">
    <w:name w:val="figuretitle"/>
    <w:basedOn w:val="Normal"/>
    <w:pPr>
      <w:spacing w:before="120" w:after="480"/>
      <w:jc w:val="center"/>
    </w:pPr>
    <w:rPr>
      <w:rFonts w:eastAsia="Times New Roman"/>
    </w:rPr>
  </w:style>
  <w:style w:type="paragraph" w:customStyle="1" w:styleId="parid">
    <w:name w:val="parid"/>
    <w:rPr>
      <w:rFonts w:eastAsia="Times New Roman"/>
      <w:sz w:val="24"/>
    </w:rPr>
  </w:style>
  <w:style w:type="paragraph" w:customStyle="1" w:styleId="FigureTitle0">
    <w:name w:val="Figure Title"/>
    <w:basedOn w:val="Normal"/>
    <w:rsid w:val="00DC64F7"/>
    <w:pPr>
      <w:spacing w:before="120" w:after="120"/>
    </w:pPr>
    <w:rPr>
      <w:rFonts w:ascii="Times New Roman" w:eastAsia="Times New Roman" w:hAnsi="Times New Roman"/>
    </w:rPr>
  </w:style>
  <w:style w:type="paragraph" w:customStyle="1" w:styleId="TitleCover">
    <w:name w:val="Title Cover"/>
    <w:basedOn w:val="Normal"/>
    <w:next w:val="Normal"/>
    <w:autoRedefine/>
    <w:rsid w:val="00FC26AA"/>
    <w:pPr>
      <w:keepNext/>
      <w:keepLines/>
      <w:tabs>
        <w:tab w:val="left" w:pos="720"/>
        <w:tab w:val="left" w:pos="1440"/>
        <w:tab w:val="left" w:pos="4060"/>
      </w:tabs>
      <w:spacing w:before="240" w:line="240" w:lineRule="atLeast"/>
      <w:ind w:firstLine="720"/>
      <w:jc w:val="center"/>
    </w:pPr>
    <w:rPr>
      <w:rFonts w:eastAsia="Times New Roman"/>
      <w:b/>
      <w:color w:val="000000"/>
      <w:spacing w:val="-48"/>
      <w:kern w:val="28"/>
      <w:sz w:val="72"/>
    </w:rPr>
  </w:style>
  <w:style w:type="paragraph" w:customStyle="1" w:styleId="BodyTextLeftBold">
    <w:name w:val="Body Text Left Bold"/>
    <w:basedOn w:val="Normal"/>
    <w:autoRedefine/>
    <w:pPr>
      <w:pBdr>
        <w:right w:val="single" w:sz="12" w:space="0" w:color="auto"/>
      </w:pBdr>
      <w:tabs>
        <w:tab w:val="left" w:pos="720"/>
        <w:tab w:val="left" w:pos="1440"/>
        <w:tab w:val="left" w:pos="3690"/>
        <w:tab w:val="right" w:pos="8730"/>
      </w:tabs>
      <w:outlineLvl w:val="0"/>
    </w:pPr>
    <w:rPr>
      <w:rFonts w:eastAsia="Times New Roman"/>
      <w:b/>
      <w:color w:val="000000"/>
      <w:sz w:val="28"/>
    </w:rPr>
  </w:style>
  <w:style w:type="paragraph" w:styleId="TOC1">
    <w:name w:val="toc 1"/>
    <w:basedOn w:val="Normal"/>
    <w:autoRedefine/>
    <w:semiHidden/>
    <w:rsid w:val="0063135A"/>
    <w:pPr>
      <w:tabs>
        <w:tab w:val="left" w:pos="420"/>
        <w:tab w:val="right" w:leader="dot" w:pos="9350"/>
      </w:tabs>
      <w:spacing w:before="120" w:after="120"/>
    </w:pPr>
    <w:rPr>
      <w:caps/>
      <w:sz w:val="22"/>
      <w:szCs w:val="22"/>
    </w:rPr>
  </w:style>
  <w:style w:type="paragraph" w:styleId="TOC2">
    <w:name w:val="toc 2"/>
    <w:basedOn w:val="Normal"/>
    <w:autoRedefine/>
    <w:semiHidden/>
    <w:rsid w:val="00BF4141"/>
    <w:pPr>
      <w:ind w:left="240"/>
    </w:pPr>
    <w:rPr>
      <w:rFonts w:ascii="Times New Roman" w:hAnsi="Times New Roman"/>
      <w:smallCaps/>
      <w:sz w:val="22"/>
    </w:rPr>
  </w:style>
  <w:style w:type="paragraph" w:customStyle="1" w:styleId="PageTitle">
    <w:name w:val="Page Title"/>
    <w:basedOn w:val="Title"/>
    <w:autoRedefine/>
    <w:rsid w:val="00DC64F7"/>
    <w:pPr>
      <w:tabs>
        <w:tab w:val="left" w:pos="720"/>
        <w:tab w:val="left" w:pos="1440"/>
        <w:tab w:val="right" w:pos="8730"/>
      </w:tabs>
      <w:spacing w:before="0" w:after="400" w:line="540" w:lineRule="atLeast"/>
      <w:jc w:val="left"/>
      <w:outlineLvl w:val="9"/>
    </w:pPr>
    <w:rPr>
      <w:rFonts w:ascii="Times" w:eastAsia="Times New Roman" w:hAnsi="Times"/>
      <w:b w:val="0"/>
      <w:caps/>
      <w:color w:val="000000"/>
      <w:spacing w:val="-40"/>
      <w:sz w:val="40"/>
    </w:rPr>
  </w:style>
  <w:style w:type="paragraph" w:styleId="TOAHeading">
    <w:name w:val="toa heading"/>
    <w:basedOn w:val="Normal"/>
    <w:next w:val="Normal"/>
    <w:semiHidden/>
    <w:pPr>
      <w:keepNext/>
      <w:tabs>
        <w:tab w:val="left" w:pos="720"/>
        <w:tab w:val="left" w:pos="1440"/>
        <w:tab w:val="right" w:pos="8730"/>
      </w:tabs>
      <w:spacing w:before="240" w:after="240" w:line="360" w:lineRule="exact"/>
      <w:jc w:val="center"/>
    </w:pPr>
    <w:rPr>
      <w:rFonts w:ascii="Arial" w:eastAsia="Times New Roman" w:hAnsi="Arial"/>
      <w:b/>
      <w:color w:val="000000"/>
      <w:kern w:val="28"/>
      <w:sz w:val="28"/>
    </w:rPr>
  </w:style>
  <w:style w:type="paragraph" w:customStyle="1" w:styleId="normal0">
    <w:name w:val="normal"/>
    <w:basedOn w:val="Normal"/>
    <w:rPr>
      <w:rFonts w:ascii="Times New Roman" w:eastAsia="Times New Roman" w:hAnsi="Times New Roman"/>
      <w:sz w:val="20"/>
    </w:rPr>
  </w:style>
  <w:style w:type="paragraph" w:styleId="Title">
    <w:name w:val="Title"/>
    <w:basedOn w:val="Normal"/>
    <w:qFormat/>
    <w:pPr>
      <w:spacing w:before="240" w:after="60"/>
      <w:jc w:val="center"/>
      <w:outlineLvl w:val="0"/>
    </w:pPr>
    <w:rPr>
      <w:rFonts w:ascii="Helvetica" w:hAnsi="Helvetica"/>
      <w:b/>
      <w:kern w:val="28"/>
      <w:sz w:val="32"/>
    </w:rPr>
  </w:style>
  <w:style w:type="paragraph" w:styleId="TOC3">
    <w:name w:val="toc 3"/>
    <w:basedOn w:val="Normal"/>
    <w:next w:val="Normal"/>
    <w:autoRedefine/>
    <w:semiHidden/>
    <w:pPr>
      <w:ind w:left="480"/>
    </w:pPr>
    <w:rPr>
      <w:rFonts w:ascii="Times New Roman" w:hAnsi="Times New Roman"/>
      <w:i/>
      <w:sz w:val="20"/>
    </w:rPr>
  </w:style>
  <w:style w:type="paragraph" w:styleId="TOC4">
    <w:name w:val="toc 4"/>
    <w:basedOn w:val="Normal"/>
    <w:next w:val="Normal"/>
    <w:autoRedefine/>
    <w:semiHidden/>
    <w:pPr>
      <w:ind w:left="720"/>
    </w:pPr>
    <w:rPr>
      <w:rFonts w:ascii="Times New Roman" w:hAnsi="Times New Roman"/>
      <w:sz w:val="18"/>
      <w:szCs w:val="18"/>
    </w:rPr>
  </w:style>
  <w:style w:type="paragraph" w:styleId="TOC5">
    <w:name w:val="toc 5"/>
    <w:basedOn w:val="Normal"/>
    <w:next w:val="Normal"/>
    <w:autoRedefine/>
    <w:semiHidden/>
    <w:pPr>
      <w:ind w:left="960"/>
    </w:pPr>
    <w:rPr>
      <w:rFonts w:ascii="Times New Roman" w:hAnsi="Times New Roman"/>
      <w:sz w:val="18"/>
      <w:szCs w:val="18"/>
    </w:rPr>
  </w:style>
  <w:style w:type="paragraph" w:styleId="TOC6">
    <w:name w:val="toc 6"/>
    <w:basedOn w:val="Normal"/>
    <w:next w:val="Normal"/>
    <w:autoRedefine/>
    <w:semiHidden/>
    <w:pPr>
      <w:ind w:left="1200"/>
    </w:pPr>
    <w:rPr>
      <w:rFonts w:ascii="Times New Roman" w:hAnsi="Times New Roman"/>
      <w:sz w:val="18"/>
      <w:szCs w:val="18"/>
    </w:rPr>
  </w:style>
  <w:style w:type="paragraph" w:styleId="TOC7">
    <w:name w:val="toc 7"/>
    <w:basedOn w:val="Normal"/>
    <w:next w:val="Normal"/>
    <w:autoRedefine/>
    <w:semiHidden/>
    <w:pPr>
      <w:ind w:left="1440"/>
    </w:pPr>
    <w:rPr>
      <w:rFonts w:ascii="Times New Roman" w:hAnsi="Times New Roman"/>
      <w:sz w:val="18"/>
      <w:szCs w:val="18"/>
    </w:rPr>
  </w:style>
  <w:style w:type="paragraph" w:styleId="TOC8">
    <w:name w:val="toc 8"/>
    <w:basedOn w:val="Normal"/>
    <w:next w:val="Normal"/>
    <w:autoRedefine/>
    <w:semiHidden/>
    <w:pPr>
      <w:ind w:left="1680"/>
    </w:pPr>
    <w:rPr>
      <w:rFonts w:ascii="Times New Roman" w:hAnsi="Times New Roman"/>
      <w:sz w:val="18"/>
      <w:szCs w:val="18"/>
    </w:rPr>
  </w:style>
  <w:style w:type="paragraph" w:styleId="TOC9">
    <w:name w:val="toc 9"/>
    <w:basedOn w:val="Normal"/>
    <w:next w:val="Normal"/>
    <w:autoRedefine/>
    <w:semiHidden/>
    <w:pPr>
      <w:ind w:left="1920"/>
    </w:pPr>
    <w:rPr>
      <w:rFonts w:ascii="Times New Roman" w:hAnsi="Times New Roman"/>
      <w:sz w:val="18"/>
      <w:szCs w:val="18"/>
    </w:rPr>
  </w:style>
  <w:style w:type="table" w:styleId="TableGrid">
    <w:name w:val="Table Grid"/>
    <w:basedOn w:val="TableNormal"/>
    <w:rsid w:val="00F653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geHeader">
    <w:name w:val="Page Header"/>
    <w:basedOn w:val="Normal"/>
    <w:next w:val="Heading1"/>
    <w:rsid w:val="00F653CE"/>
    <w:pPr>
      <w:spacing w:after="360"/>
      <w:jc w:val="center"/>
    </w:pPr>
    <w:rPr>
      <w:b/>
      <w:sz w:val="36"/>
    </w:rPr>
  </w:style>
  <w:style w:type="paragraph" w:customStyle="1" w:styleId="Appendix">
    <w:name w:val="Appendix"/>
    <w:basedOn w:val="Heading1"/>
    <w:next w:val="Normal"/>
    <w:autoRedefine/>
    <w:rsid w:val="00BF4141"/>
    <w:pPr>
      <w:keepLines w:val="0"/>
      <w:pageBreakBefore/>
      <w:numPr>
        <w:numId w:val="4"/>
      </w:numPr>
    </w:pPr>
  </w:style>
  <w:style w:type="paragraph" w:styleId="BalloonText">
    <w:name w:val="Balloon Text"/>
    <w:basedOn w:val="Normal"/>
    <w:link w:val="BalloonTextChar"/>
    <w:uiPriority w:val="99"/>
    <w:semiHidden/>
    <w:unhideWhenUsed/>
    <w:rsid w:val="009D24A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D24AD"/>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 Id="rId9" Type="http://schemas.openxmlformats.org/officeDocument/2006/relationships/chart" Target="charts/chart1.xml"/><Relationship Id="rId10"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oleObject" Target="Macintosh%20HD:Users:dunham:Desktop:Test%20Flights:SCAI:06-2011:TAAS:TAAS_Focus.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Macintosh%20HD:Users:dunham:Desktop:Test%20Flights:SCAI:06-2011:TAAS:TAAS_Focus.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scatterChart>
        <c:scatterStyle val="lineMarker"/>
        <c:varyColors val="0"/>
        <c:ser>
          <c:idx val="0"/>
          <c:order val="0"/>
          <c:spPr>
            <a:ln w="47625">
              <a:noFill/>
            </a:ln>
          </c:spPr>
          <c:xVal>
            <c:numRef>
              <c:f>Sheet1!$K$3:$K$11</c:f>
              <c:numCache>
                <c:formatCode>General</c:formatCode>
                <c:ptCount val="9"/>
                <c:pt idx="0">
                  <c:v>483.5</c:v>
                </c:pt>
                <c:pt idx="1">
                  <c:v>356.7</c:v>
                </c:pt>
                <c:pt idx="2">
                  <c:v>229.8</c:v>
                </c:pt>
                <c:pt idx="3">
                  <c:v>102.6</c:v>
                </c:pt>
                <c:pt idx="4">
                  <c:v>484.6</c:v>
                </c:pt>
                <c:pt idx="5">
                  <c:v>611.9</c:v>
                </c:pt>
                <c:pt idx="6">
                  <c:v>739.9</c:v>
                </c:pt>
                <c:pt idx="7">
                  <c:v>864.5</c:v>
                </c:pt>
                <c:pt idx="8">
                  <c:v>483.1</c:v>
                </c:pt>
              </c:numCache>
            </c:numRef>
          </c:xVal>
          <c:yVal>
            <c:numRef>
              <c:f>Sheet1!$J$3:$J$11</c:f>
              <c:numCache>
                <c:formatCode>General</c:formatCode>
                <c:ptCount val="9"/>
                <c:pt idx="0">
                  <c:v>543.6</c:v>
                </c:pt>
                <c:pt idx="1">
                  <c:v>544.6</c:v>
                </c:pt>
                <c:pt idx="2">
                  <c:v>544.4</c:v>
                </c:pt>
                <c:pt idx="3">
                  <c:v>545.1</c:v>
                </c:pt>
                <c:pt idx="4">
                  <c:v>544.1</c:v>
                </c:pt>
                <c:pt idx="5">
                  <c:v>543.5</c:v>
                </c:pt>
                <c:pt idx="6">
                  <c:v>543.5</c:v>
                </c:pt>
                <c:pt idx="7">
                  <c:v>542.6</c:v>
                </c:pt>
                <c:pt idx="8">
                  <c:v>543.5</c:v>
                </c:pt>
              </c:numCache>
            </c:numRef>
          </c:yVal>
          <c:smooth val="0"/>
        </c:ser>
        <c:dLbls>
          <c:showLegendKey val="0"/>
          <c:showVal val="0"/>
          <c:showCatName val="0"/>
          <c:showSerName val="0"/>
          <c:showPercent val="0"/>
          <c:showBubbleSize val="0"/>
        </c:dLbls>
        <c:axId val="2126109000"/>
        <c:axId val="2126182664"/>
      </c:scatterChart>
      <c:valAx>
        <c:axId val="2126109000"/>
        <c:scaling>
          <c:orientation val="minMax"/>
        </c:scaling>
        <c:delete val="0"/>
        <c:axPos val="b"/>
        <c:title>
          <c:tx>
            <c:rich>
              <a:bodyPr/>
              <a:lstStyle/>
              <a:p>
                <a:pPr>
                  <a:defRPr/>
                </a:pPr>
                <a:r>
                  <a:rPr lang="en-US"/>
                  <a:t>Y</a:t>
                </a:r>
                <a:r>
                  <a:rPr lang="en-US" baseline="0"/>
                  <a:t> position (pixels)</a:t>
                </a:r>
                <a:endParaRPr lang="en-US"/>
              </a:p>
            </c:rich>
          </c:tx>
          <c:layout/>
          <c:overlay val="0"/>
        </c:title>
        <c:numFmt formatCode="General" sourceLinked="1"/>
        <c:majorTickMark val="out"/>
        <c:minorTickMark val="none"/>
        <c:tickLblPos val="nextTo"/>
        <c:txPr>
          <a:bodyPr rot="0" vert="horz"/>
          <a:lstStyle/>
          <a:p>
            <a:pPr>
              <a:defRPr sz="1000" b="0" i="0" u="none" strike="noStrike" baseline="0">
                <a:solidFill>
                  <a:srgbClr val="000000"/>
                </a:solidFill>
                <a:latin typeface="Calibri"/>
                <a:ea typeface="Calibri"/>
                <a:cs typeface="Calibri"/>
              </a:defRPr>
            </a:pPr>
            <a:endParaRPr lang="en-US"/>
          </a:p>
        </c:txPr>
        <c:crossAx val="2126182664"/>
        <c:crosses val="autoZero"/>
        <c:crossBetween val="midCat"/>
      </c:valAx>
      <c:valAx>
        <c:axId val="2126182664"/>
        <c:scaling>
          <c:orientation val="minMax"/>
          <c:max val="547.0"/>
          <c:min val="541.0"/>
        </c:scaling>
        <c:delete val="0"/>
        <c:axPos val="l"/>
        <c:majorGridlines/>
        <c:title>
          <c:tx>
            <c:rich>
              <a:bodyPr rot="-5400000" vert="horz"/>
              <a:lstStyle/>
              <a:p>
                <a:pPr>
                  <a:defRPr/>
                </a:pPr>
                <a:r>
                  <a:rPr lang="en-US"/>
                  <a:t>X Position (pixels</a:t>
                </a:r>
              </a:p>
              <a:p>
                <a:pPr>
                  <a:defRPr/>
                </a:pPr>
                <a:endParaRPr lang="en-US"/>
              </a:p>
            </c:rich>
          </c:tx>
          <c:layout/>
          <c:overlay val="0"/>
        </c:title>
        <c:numFmt formatCode="General" sourceLinked="1"/>
        <c:majorTickMark val="out"/>
        <c:minorTickMark val="none"/>
        <c:tickLblPos val="nextTo"/>
        <c:crossAx val="2126109000"/>
        <c:crosses val="autoZero"/>
        <c:crossBetween val="midCat"/>
      </c:valAx>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scatterChart>
        <c:scatterStyle val="lineMarker"/>
        <c:varyColors val="0"/>
        <c:ser>
          <c:idx val="0"/>
          <c:order val="0"/>
          <c:spPr>
            <a:ln w="47625">
              <a:noFill/>
            </a:ln>
          </c:spPr>
          <c:xVal>
            <c:numRef>
              <c:f>Sheet1!$J$19:$J$28</c:f>
              <c:numCache>
                <c:formatCode>General</c:formatCode>
                <c:ptCount val="10"/>
                <c:pt idx="0">
                  <c:v>670.1</c:v>
                </c:pt>
                <c:pt idx="1">
                  <c:v>796.9</c:v>
                </c:pt>
                <c:pt idx="2">
                  <c:v>923.6</c:v>
                </c:pt>
                <c:pt idx="3">
                  <c:v>542.9</c:v>
                </c:pt>
                <c:pt idx="4">
                  <c:v>415.6</c:v>
                </c:pt>
                <c:pt idx="5">
                  <c:v>289.4</c:v>
                </c:pt>
                <c:pt idx="6">
                  <c:v>162.5</c:v>
                </c:pt>
                <c:pt idx="7">
                  <c:v>34.9</c:v>
                </c:pt>
                <c:pt idx="8">
                  <c:v>543.4</c:v>
                </c:pt>
                <c:pt idx="9">
                  <c:v>543.3</c:v>
                </c:pt>
              </c:numCache>
            </c:numRef>
          </c:xVal>
          <c:yVal>
            <c:numRef>
              <c:f>Sheet1!$K$19:$K$28</c:f>
              <c:numCache>
                <c:formatCode>General</c:formatCode>
                <c:ptCount val="10"/>
                <c:pt idx="0">
                  <c:v>484.2</c:v>
                </c:pt>
                <c:pt idx="1">
                  <c:v>486.0</c:v>
                </c:pt>
                <c:pt idx="2">
                  <c:v>484.5</c:v>
                </c:pt>
                <c:pt idx="3">
                  <c:v>484.4</c:v>
                </c:pt>
                <c:pt idx="4">
                  <c:v>485.7</c:v>
                </c:pt>
                <c:pt idx="5">
                  <c:v>486.9</c:v>
                </c:pt>
                <c:pt idx="6">
                  <c:v>482.7</c:v>
                </c:pt>
                <c:pt idx="7">
                  <c:v>484.7</c:v>
                </c:pt>
                <c:pt idx="8">
                  <c:v>484.2</c:v>
                </c:pt>
                <c:pt idx="9">
                  <c:v>484.2</c:v>
                </c:pt>
              </c:numCache>
            </c:numRef>
          </c:yVal>
          <c:smooth val="0"/>
        </c:ser>
        <c:dLbls>
          <c:showLegendKey val="0"/>
          <c:showVal val="0"/>
          <c:showCatName val="0"/>
          <c:showSerName val="0"/>
          <c:showPercent val="0"/>
          <c:showBubbleSize val="0"/>
        </c:dLbls>
        <c:axId val="2126275736"/>
        <c:axId val="2126252888"/>
      </c:scatterChart>
      <c:valAx>
        <c:axId val="2126275736"/>
        <c:scaling>
          <c:orientation val="minMax"/>
        </c:scaling>
        <c:delete val="0"/>
        <c:axPos val="b"/>
        <c:title>
          <c:tx>
            <c:rich>
              <a:bodyPr/>
              <a:lstStyle/>
              <a:p>
                <a:pPr>
                  <a:defRPr/>
                </a:pPr>
                <a:r>
                  <a:rPr lang="en-US"/>
                  <a:t>X Position (pixels)</a:t>
                </a:r>
              </a:p>
            </c:rich>
          </c:tx>
          <c:layout/>
          <c:overlay val="0"/>
        </c:title>
        <c:numFmt formatCode="General" sourceLinked="1"/>
        <c:majorTickMark val="out"/>
        <c:minorTickMark val="none"/>
        <c:tickLblPos val="nextTo"/>
        <c:txPr>
          <a:bodyPr rot="0" vert="horz"/>
          <a:lstStyle/>
          <a:p>
            <a:pPr>
              <a:defRPr sz="1000" b="0" i="0" u="none" strike="noStrike" baseline="0">
                <a:solidFill>
                  <a:srgbClr val="000000"/>
                </a:solidFill>
                <a:latin typeface="Calibri"/>
                <a:ea typeface="Calibri"/>
                <a:cs typeface="Calibri"/>
              </a:defRPr>
            </a:pPr>
            <a:endParaRPr lang="en-US"/>
          </a:p>
        </c:txPr>
        <c:crossAx val="2126252888"/>
        <c:crosses val="autoZero"/>
        <c:crossBetween val="midCat"/>
      </c:valAx>
      <c:valAx>
        <c:axId val="2126252888"/>
        <c:scaling>
          <c:orientation val="minMax"/>
          <c:max val="488.0"/>
        </c:scaling>
        <c:delete val="0"/>
        <c:axPos val="l"/>
        <c:majorGridlines/>
        <c:title>
          <c:tx>
            <c:rich>
              <a:bodyPr rot="-5400000" vert="horz"/>
              <a:lstStyle/>
              <a:p>
                <a:pPr>
                  <a:defRPr/>
                </a:pPr>
                <a:r>
                  <a:rPr lang="en-US"/>
                  <a:t>Y position (pixels)</a:t>
                </a:r>
              </a:p>
            </c:rich>
          </c:tx>
          <c:layout/>
          <c:overlay val="0"/>
        </c:title>
        <c:numFmt formatCode="General" sourceLinked="1"/>
        <c:majorTickMark val="out"/>
        <c:minorTickMark val="none"/>
        <c:tickLblPos val="nextTo"/>
        <c:crossAx val="2126275736"/>
        <c:crosses val="autoZero"/>
        <c:crossBetween val="midCat"/>
      </c:valAx>
    </c:plotArea>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486</TotalTime>
  <Pages>4</Pages>
  <Words>1111</Words>
  <Characters>6336</Characters>
  <Application>Microsoft Macintosh Word</Application>
  <DocSecurity>0</DocSecurity>
  <Lines>52</Lines>
  <Paragraphs>14</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NATIONAL AERONAUTICS AND SPACE ADMINISTRATION</vt:lpstr>
      <vt:lpstr>MC-02 – Matched chop-nod Evaluation</vt:lpstr>
      <vt:lpstr>    Introduction</vt:lpstr>
      <vt:lpstr>    Data Acquired</vt:lpstr>
      <vt:lpstr>    Data Analysis</vt:lpstr>
      <vt:lpstr>    Results	</vt:lpstr>
    </vt:vector>
  </TitlesOfParts>
  <Company>NASA</Company>
  <LinksUpToDate>false</LinksUpToDate>
  <CharactersWithSpaces>7433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NATIONAL AERONAUTICS AND SPACE ADMINISTRATION</dc:title>
  <dc:subject/>
  <dc:creator>Ames</dc:creator>
  <cp:keywords/>
  <dc:description/>
  <cp:lastModifiedBy>Edward Dunham</cp:lastModifiedBy>
  <cp:revision>23</cp:revision>
  <cp:lastPrinted>2007-08-31T15:00:00Z</cp:lastPrinted>
  <dcterms:created xsi:type="dcterms:W3CDTF">2012-04-13T22:14:00Z</dcterms:created>
  <dcterms:modified xsi:type="dcterms:W3CDTF">2014-03-26T01:09:00Z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ct Est Work">
    <vt:lpwstr>1.00 hours</vt:lpwstr>
  </property>
  <property fmtid="{D5CDD505-2E9C-101B-9397-08002B2CF9AE}" pid="3" name="Type">
    <vt:lpwstr>Document</vt:lpwstr>
  </property>
  <property fmtid="{D5CDD505-2E9C-101B-9397-08002B2CF9AE}" pid="4" name="versionInfo">
    <vt:lpwstr>A.0</vt:lpwstr>
  </property>
  <property fmtid="{D5CDD505-2E9C-101B-9397-08002B2CF9AE}" pid="5" name="Project Deadline attrFormat=UTC">
    <vt:lpwstr/>
  </property>
  <property fmtid="{D5CDD505-2E9C-101B-9397-08002B2CF9AE}" pid="6" name="Project Plan State">
    <vt:lpwstr>Defined</vt:lpwstr>
  </property>
  <property fmtid="{D5CDD505-2E9C-101B-9397-08002B2CF9AE}" pid="7" name="Context Creator">
    <vt:lpwstr>Maryland Edwards training</vt:lpwstr>
  </property>
  <property fmtid="{D5CDD505-2E9C-101B-9397-08002B2CF9AE}" pid="8" name="Project Budget">
    <vt:lpwstr>$ 0.00</vt:lpwstr>
  </property>
  <property fmtid="{D5CDD505-2E9C-101B-9397-08002B2CF9AE}" pid="9" name="Project Risk Descr">
    <vt:lpwstr/>
  </property>
  <property fmtid="{D5CDD505-2E9C-101B-9397-08002B2CF9AE}" pid="10" name="Project Est Finish attrFormat=UTC">
    <vt:lpwstr>2007-05-07T07:00:00</vt:lpwstr>
  </property>
  <property fmtid="{D5CDD505-2E9C-101B-9397-08002B2CF9AE}" pid="11" name="Project Actual Start attrFormat=UTC">
    <vt:lpwstr/>
  </property>
  <property fmtid="{D5CDD505-2E9C-101B-9397-08002B2CF9AE}" pid="12" name="Project Status">
    <vt:lpwstr>Unavailable</vt:lpwstr>
  </property>
  <property fmtid="{D5CDD505-2E9C-101B-9397-08002B2CF9AE}" pid="13" name="Project Risk Status">
    <vt:lpwstr/>
  </property>
  <property fmtid="{D5CDD505-2E9C-101B-9397-08002B2CF9AE}" pid="14" name="Project Type">
    <vt:lpwstr>Project</vt:lpwstr>
  </property>
  <property fmtid="{D5CDD505-2E9C-101B-9397-08002B2CF9AE}" pid="15" name="context">
    <vt:lpwstr>SOFIA CMWG</vt:lpwstr>
  </property>
  <property fmtid="{D5CDD505-2E9C-101B-9397-08002B2CF9AE}" pid="16" name="URL">
    <vt:lpwstr>https://sofiacmdb.arc.nasa.gov/Windchill/servlet/WindchillAuthGW/wt.content.ContentHttp/viewContent/SOFIA%20document%20template.doc?u8&amp;HttpOperationItem=wt.content.ApplicationData%3A3756646&amp;ContentHolder=wt.doc.WTDocument%3A3756640&amp;forceDownload=true</vt:lpwstr>
  </property>
  <property fmtid="{D5CDD505-2E9C-101B-9397-08002B2CF9AE}" pid="17" name="Project Category">
    <vt:lpwstr>Design Development</vt:lpwstr>
  </property>
  <property fmtid="{D5CDD505-2E9C-101B-9397-08002B2CF9AE}" pid="18" name="lifeCycleState">
    <vt:lpwstr>In Work</vt:lpwstr>
  </property>
  <property fmtid="{D5CDD505-2E9C-101B-9397-08002B2CF9AE}" pid="19" name="Project Priority">
    <vt:lpwstr>0</vt:lpwstr>
  </property>
  <property fmtid="{D5CDD505-2E9C-101B-9397-08002B2CF9AE}" pid="20" name="Project State">
    <vt:lpwstr>Running</vt:lpwstr>
  </property>
  <property fmtid="{D5CDD505-2E9C-101B-9397-08002B2CF9AE}" pid="21" name="Project Est Cost">
    <vt:lpwstr>$ 0.00</vt:lpwstr>
  </property>
  <property fmtid="{D5CDD505-2E9C-101B-9397-08002B2CF9AE}" pid="22" name="Context Number">
    <vt:lpwstr>000023</vt:lpwstr>
  </property>
  <property fmtid="{D5CDD505-2E9C-101B-9397-08002B2CF9AE}" pid="23" name="Project Site">
    <vt:lpwstr/>
  </property>
  <property fmtid="{D5CDD505-2E9C-101B-9397-08002B2CF9AE}" pid="24" name="obid">
    <vt:lpwstr>VR:wt.doc.WTDocument:3756639:198329559-1174086495247-27508846-28-38-102-128@sofiacmdb.arc.nasa.gov</vt:lpwstr>
  </property>
  <property fmtid="{D5CDD505-2E9C-101B-9397-08002B2CF9AE}" pid="25" name="Document Type">
    <vt:lpwstr>Document</vt:lpwstr>
  </property>
  <property fmtid="{D5CDD505-2E9C-101B-9397-08002B2CF9AE}" pid="26" name="Context Create Timestamp attrFormat=UTC">
    <vt:lpwstr>2007-05-07T16:24:44</vt:lpwstr>
  </property>
  <property fmtid="{D5CDD505-2E9C-101B-9397-08002B2CF9AE}" pid="27" name="Context Last Modified Timestamp attrFormat=UTC">
    <vt:lpwstr>2007-10-23T23:18:40</vt:lpwstr>
  </property>
  <property fmtid="{D5CDD505-2E9C-101B-9397-08002B2CF9AE}" pid="28" name="Project Scope">
    <vt:lpwstr/>
  </property>
  <property fmtid="{D5CDD505-2E9C-101B-9397-08002B2CF9AE}" pid="29" name="RevisionInfo">
    <vt:lpwstr>A</vt:lpwstr>
  </property>
  <property fmtid="{D5CDD505-2E9C-101B-9397-08002B2CF9AE}" pid="30" name="Project Owner">
    <vt:lpwstr>Maryland Edwards training</vt:lpwstr>
  </property>
  <property fmtid="{D5CDD505-2E9C-101B-9397-08002B2CF9AE}" pid="31" name="Project Business Unit">
    <vt:lpwstr/>
  </property>
  <property fmtid="{D5CDD505-2E9C-101B-9397-08002B2CF9AE}" pid="32" name="Project % Done">
    <vt:lpwstr>0%</vt:lpwstr>
  </property>
  <property fmtid="{D5CDD505-2E9C-101B-9397-08002B2CF9AE}" pid="33" name="Project Completion Date attrFormat=UTC">
    <vt:lpwstr/>
  </property>
  <property fmtid="{D5CDD505-2E9C-101B-9397-08002B2CF9AE}" pid="34" name="Project Phase">
    <vt:lpwstr>Kickoff</vt:lpwstr>
  </property>
  <property fmtid="{D5CDD505-2E9C-101B-9397-08002B2CF9AE}" pid="35" name="Project Est Start attrFormat=UTC">
    <vt:lpwstr>2007-05-07T07:00:00</vt:lpwstr>
  </property>
  <property fmtid="{D5CDD505-2E9C-101B-9397-08002B2CF9AE}" pid="36" name="Project Actual Finish attrFormat=UTC">
    <vt:lpwstr/>
  </property>
  <property fmtid="{D5CDD505-2E9C-101B-9397-08002B2CF9AE}" pid="37" name="Project Actual Cost">
    <vt:lpwstr>$ 0.00</vt:lpwstr>
  </property>
  <property fmtid="{D5CDD505-2E9C-101B-9397-08002B2CF9AE}" pid="38" name="Project Actual Work">
    <vt:lpwstr>0.00 hours</vt:lpwstr>
  </property>
  <property fmtid="{D5CDD505-2E9C-101B-9397-08002B2CF9AE}" pid="39" name="Document number">
    <vt:lpwstr>0000000315</vt:lpwstr>
  </property>
  <property fmtid="{D5CDD505-2E9C-101B-9397-08002B2CF9AE}" pid="40" name="Project Initiation Date attrFormat=UTC">
    <vt:lpwstr>2007-05-07T16:28:37</vt:lpwstr>
  </property>
  <property fmtid="{D5CDD505-2E9C-101B-9397-08002B2CF9AE}" pid="41" name="Project Status Descr">
    <vt:lpwstr/>
  </property>
  <property fmtid="{D5CDD505-2E9C-101B-9397-08002B2CF9AE}" pid="42" name="wtname">
    <vt:lpwstr>SOFIA document template</vt:lpwstr>
  </property>
  <property fmtid="{D5CDD505-2E9C-101B-9397-08002B2CF9AE}" pid="43" name="LastModified">
    <vt:lpwstr>2007-10-23T23:18:41</vt:lpwstr>
  </property>
  <property fmtid="{D5CDD505-2E9C-101B-9397-08002B2CF9AE}" pid="44" name="alwaysdownload">
    <vt:lpwstr>alwaysdownload</vt:lpwstr>
  </property>
</Properties>
</file>